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01AF" w14:textId="77777777" w:rsidR="003F496E" w:rsidRDefault="003F496E" w:rsidP="00C155D7">
      <w:pPr>
        <w:ind w:left="-720" w:right="-432"/>
        <w:contextualSpacing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04"/>
        <w:gridCol w:w="7056"/>
      </w:tblGrid>
      <w:tr w:rsidR="00BA3E27" w:rsidRPr="00B12118" w14:paraId="7920A241" w14:textId="77777777" w:rsidTr="006E15C0">
        <w:trPr>
          <w:jc w:val="center"/>
        </w:trPr>
        <w:tc>
          <w:tcPr>
            <w:tcW w:w="9360" w:type="dxa"/>
            <w:gridSpan w:val="2"/>
          </w:tcPr>
          <w:p w14:paraId="552B4C72" w14:textId="77777777" w:rsidR="00BA3E27" w:rsidRPr="00C155D7" w:rsidRDefault="0007791C" w:rsidP="00C155D7">
            <w:pPr>
              <w:ind w:left="12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26E8">
              <w:rPr>
                <w:rFonts w:ascii="Arial" w:hAnsi="Arial" w:cs="Arial"/>
                <w:b/>
                <w:sz w:val="22"/>
                <w:szCs w:val="22"/>
              </w:rPr>
              <w:t xml:space="preserve">About the Measure </w:t>
            </w:r>
          </w:p>
        </w:tc>
      </w:tr>
      <w:tr w:rsidR="00932385" w:rsidRPr="00B12118" w14:paraId="67B4CA10" w14:textId="77777777" w:rsidTr="006E15C0">
        <w:trPr>
          <w:jc w:val="center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73FD8694" w14:textId="77777777" w:rsidR="00932385" w:rsidRPr="00793F0B" w:rsidRDefault="00932385" w:rsidP="00932385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Domain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shd w:val="clear" w:color="auto" w:fill="auto"/>
          </w:tcPr>
          <w:p w14:paraId="6020DC6A" w14:textId="77777777" w:rsidR="00932385" w:rsidRPr="00EA0040" w:rsidRDefault="00932385" w:rsidP="009323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Sickle Cell Disease Curative Therapies</w:t>
            </w:r>
          </w:p>
        </w:tc>
      </w:tr>
      <w:tr w:rsidR="00932385" w:rsidRPr="00B12118" w14:paraId="39BA0896" w14:textId="77777777" w:rsidTr="006E15C0">
        <w:trPr>
          <w:jc w:val="center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1DB8B5CF" w14:textId="77777777" w:rsidR="00932385" w:rsidRPr="00B12118" w:rsidRDefault="00932385" w:rsidP="00932385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shd w:val="clear" w:color="auto" w:fill="auto"/>
          </w:tcPr>
          <w:p w14:paraId="5223928D" w14:textId="77777777" w:rsidR="00932385" w:rsidRPr="00EA0040" w:rsidRDefault="00932385" w:rsidP="0093238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25AFE">
              <w:rPr>
                <w:rFonts w:ascii="Arial" w:hAnsi="Arial" w:cs="Arial"/>
                <w:sz w:val="22"/>
                <w:szCs w:val="22"/>
              </w:rPr>
              <w:t xml:space="preserve">Determination of Liver Fibrosis by </w:t>
            </w:r>
            <w:r w:rsidR="006D20EB">
              <w:rPr>
                <w:rFonts w:ascii="Arial" w:hAnsi="Arial" w:cs="Arial"/>
                <w:sz w:val="22"/>
                <w:szCs w:val="22"/>
              </w:rPr>
              <w:t>Transient Elastography</w:t>
            </w:r>
          </w:p>
        </w:tc>
      </w:tr>
      <w:tr w:rsidR="00932385" w:rsidRPr="00B12118" w14:paraId="35F0AD6C" w14:textId="77777777" w:rsidTr="006E15C0">
        <w:trPr>
          <w:jc w:val="center"/>
        </w:trPr>
        <w:tc>
          <w:tcPr>
            <w:tcW w:w="2304" w:type="dxa"/>
            <w:shd w:val="clear" w:color="auto" w:fill="auto"/>
          </w:tcPr>
          <w:p w14:paraId="30E82268" w14:textId="77777777" w:rsidR="00932385" w:rsidRPr="00B12118" w:rsidRDefault="00932385" w:rsidP="00932385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shd w:val="clear" w:color="auto" w:fill="auto"/>
          </w:tcPr>
          <w:p w14:paraId="547CC74C" w14:textId="77777777" w:rsidR="00932385" w:rsidRDefault="00932385" w:rsidP="00932385">
            <w:pPr>
              <w:rPr>
                <w:rFonts w:ascii="Arial" w:hAnsi="Arial" w:cs="Arial"/>
                <w:sz w:val="22"/>
                <w:szCs w:val="22"/>
              </w:rPr>
            </w:pPr>
            <w:r w:rsidRPr="003B7B2B">
              <w:rPr>
                <w:rFonts w:ascii="Arial" w:hAnsi="Arial" w:cs="Arial"/>
                <w:sz w:val="22"/>
                <w:szCs w:val="22"/>
              </w:rPr>
              <w:t xml:space="preserve">Fibrosis staging defines the degree of liver scarring and indicates how far disease has progressed. Liver fibrosis is a wound healing response typically resulting from chronic injury, </w:t>
            </w:r>
            <w:r w:rsidR="003A4F29">
              <w:rPr>
                <w:rFonts w:ascii="Arial" w:hAnsi="Arial" w:cs="Arial"/>
                <w:sz w:val="22"/>
                <w:szCs w:val="22"/>
              </w:rPr>
              <w:t>in which the</w:t>
            </w:r>
            <w:r w:rsidRPr="003B7B2B">
              <w:rPr>
                <w:rFonts w:ascii="Arial" w:hAnsi="Arial" w:cs="Arial"/>
                <w:sz w:val="22"/>
                <w:szCs w:val="22"/>
              </w:rPr>
              <w:t xml:space="preserve"> connective tissue matrix is overproduced</w:t>
            </w:r>
            <w:r w:rsidR="003A4F29">
              <w:rPr>
                <w:rFonts w:ascii="Arial" w:hAnsi="Arial" w:cs="Arial"/>
                <w:sz w:val="22"/>
                <w:szCs w:val="22"/>
              </w:rPr>
              <w:t>,</w:t>
            </w:r>
            <w:r w:rsidRPr="003B7B2B">
              <w:rPr>
                <w:rFonts w:ascii="Arial" w:hAnsi="Arial" w:cs="Arial"/>
                <w:sz w:val="22"/>
                <w:szCs w:val="22"/>
              </w:rPr>
              <w:t xml:space="preserve"> inefficiently degraded</w:t>
            </w:r>
            <w:r w:rsidR="003A4F29">
              <w:rPr>
                <w:rFonts w:ascii="Arial" w:hAnsi="Arial" w:cs="Arial"/>
                <w:sz w:val="22"/>
                <w:szCs w:val="22"/>
              </w:rPr>
              <w:t>,</w:t>
            </w:r>
            <w:r w:rsidRPr="003B7B2B">
              <w:rPr>
                <w:rFonts w:ascii="Arial" w:hAnsi="Arial" w:cs="Arial"/>
                <w:sz w:val="22"/>
                <w:szCs w:val="22"/>
              </w:rPr>
              <w:t xml:space="preserve"> or both. </w:t>
            </w:r>
            <w:r w:rsidR="003A4F29">
              <w:rPr>
                <w:rFonts w:ascii="Arial" w:hAnsi="Arial" w:cs="Arial"/>
                <w:sz w:val="22"/>
                <w:szCs w:val="22"/>
              </w:rPr>
              <w:t>A</w:t>
            </w:r>
            <w:r w:rsidRPr="003B7B2B">
              <w:rPr>
                <w:rFonts w:ascii="Arial" w:hAnsi="Arial" w:cs="Arial"/>
                <w:sz w:val="22"/>
                <w:szCs w:val="22"/>
              </w:rPr>
              <w:t>dvanced liver fibrosis may lead to the adverse clinical consequences of portal hypertension.</w:t>
            </w:r>
          </w:p>
          <w:p w14:paraId="51F68E71" w14:textId="77777777" w:rsidR="00932385" w:rsidRDefault="00932385" w:rsidP="009323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36B1A" w14:textId="77777777" w:rsidR="00932385" w:rsidRPr="00CC47BE" w:rsidRDefault="00932385" w:rsidP="00932385">
            <w:pPr>
              <w:rPr>
                <w:rFonts w:ascii="Arial" w:hAnsi="Arial" w:cs="Arial"/>
                <w:sz w:val="22"/>
                <w:szCs w:val="22"/>
              </w:rPr>
            </w:pPr>
            <w:r w:rsidRPr="003B7B2B">
              <w:rPr>
                <w:rFonts w:ascii="Arial" w:hAnsi="Arial" w:cs="Arial"/>
                <w:sz w:val="22"/>
                <w:szCs w:val="22"/>
              </w:rPr>
              <w:t>There is a high frequency of liver disease in sickle cell disease (SCD) patients who are candidates for curative therapies. Mechanisms of liver injury in SCD include iron overload, vaso-occlusive crises, biliary injury, immune injury, and viral hepatitis (Berry et al., 2007</w:t>
            </w:r>
            <w:r w:rsidR="003A4F29">
              <w:rPr>
                <w:rFonts w:ascii="Arial" w:hAnsi="Arial" w:cs="Arial"/>
                <w:sz w:val="22"/>
                <w:szCs w:val="22"/>
              </w:rPr>
              <w:t>;</w:t>
            </w:r>
            <w:r w:rsidRPr="003B7B2B">
              <w:rPr>
                <w:rFonts w:ascii="Arial" w:hAnsi="Arial" w:cs="Arial"/>
                <w:sz w:val="22"/>
                <w:szCs w:val="22"/>
              </w:rPr>
              <w:t xml:space="preserve"> Feld et al., 2015</w:t>
            </w:r>
            <w:r w:rsidR="003A4F29">
              <w:rPr>
                <w:rFonts w:ascii="Arial" w:hAnsi="Arial" w:cs="Arial"/>
                <w:sz w:val="22"/>
                <w:szCs w:val="22"/>
              </w:rPr>
              <w:t>;</w:t>
            </w:r>
            <w:r w:rsidRPr="003B7B2B">
              <w:rPr>
                <w:rFonts w:ascii="Arial" w:hAnsi="Arial" w:cs="Arial"/>
                <w:sz w:val="22"/>
                <w:szCs w:val="22"/>
              </w:rPr>
              <w:t xml:space="preserve"> Jitraruch et al</w:t>
            </w:r>
            <w:r w:rsidR="003A4F29">
              <w:rPr>
                <w:rFonts w:ascii="Arial" w:hAnsi="Arial" w:cs="Arial"/>
                <w:sz w:val="22"/>
                <w:szCs w:val="22"/>
              </w:rPr>
              <w:t>.</w:t>
            </w:r>
            <w:r w:rsidRPr="003B7B2B">
              <w:rPr>
                <w:rFonts w:ascii="Arial" w:hAnsi="Arial" w:cs="Arial"/>
                <w:sz w:val="22"/>
                <w:szCs w:val="22"/>
              </w:rPr>
              <w:t>, 2017</w:t>
            </w:r>
            <w:r w:rsidR="003A4F29">
              <w:rPr>
                <w:rFonts w:ascii="Arial" w:hAnsi="Arial" w:cs="Arial"/>
                <w:sz w:val="22"/>
                <w:szCs w:val="22"/>
              </w:rPr>
              <w:t>;</w:t>
            </w:r>
            <w:r w:rsidRPr="003B7B2B">
              <w:rPr>
                <w:rFonts w:ascii="Arial" w:hAnsi="Arial" w:cs="Arial"/>
                <w:sz w:val="22"/>
                <w:szCs w:val="22"/>
              </w:rPr>
              <w:t xml:space="preserve"> Theocharidou et al., 2019). Advanced liver fibrosis may increase 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3B7B2B">
              <w:rPr>
                <w:rFonts w:ascii="Arial" w:hAnsi="Arial" w:cs="Arial"/>
                <w:sz w:val="22"/>
                <w:szCs w:val="22"/>
              </w:rPr>
              <w:t xml:space="preserve">risk or preclude 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3B7B2B">
              <w:rPr>
                <w:rFonts w:ascii="Arial" w:hAnsi="Arial" w:cs="Arial"/>
                <w:sz w:val="22"/>
                <w:szCs w:val="22"/>
              </w:rPr>
              <w:t>use of some curative therapies.</w:t>
            </w:r>
          </w:p>
        </w:tc>
      </w:tr>
    </w:tbl>
    <w:p w14:paraId="6D39CE24" w14:textId="77777777" w:rsidR="003F496E" w:rsidRPr="00CC47BE" w:rsidRDefault="003F496E" w:rsidP="00C155D7">
      <w:pPr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04"/>
        <w:gridCol w:w="7056"/>
      </w:tblGrid>
      <w:tr w:rsidR="003F496E" w:rsidRPr="00CC47BE" w14:paraId="4A320DE0" w14:textId="77777777" w:rsidTr="006E15C0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26F9" w14:textId="77777777" w:rsidR="007F7390" w:rsidRPr="00C155D7" w:rsidRDefault="00376CF0" w:rsidP="00C155D7">
            <w:pPr>
              <w:ind w:left="12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About </w:t>
            </w:r>
            <w:r w:rsidR="0029042F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3F496E" w:rsidRPr="00CC47BE">
              <w:rPr>
                <w:rFonts w:ascii="Arial" w:hAnsi="Arial" w:cs="Arial"/>
                <w:b/>
                <w:sz w:val="22"/>
                <w:szCs w:val="22"/>
              </w:rPr>
              <w:t>Protocol</w:t>
            </w:r>
          </w:p>
        </w:tc>
      </w:tr>
      <w:tr w:rsidR="00733C41" w:rsidRPr="00CC47BE" w14:paraId="127BC2E4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2808" w14:textId="77777777" w:rsidR="00733C41" w:rsidRPr="002D786B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2D786B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Protocol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BD0E" w14:textId="77777777" w:rsidR="00150C6F" w:rsidRPr="00150C6F" w:rsidRDefault="00150C6F" w:rsidP="00150C6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protocol provides </w:t>
            </w:r>
            <w:r w:rsidR="00BC2A48">
              <w:rPr>
                <w:rFonts w:ascii="Arial" w:hAnsi="Arial" w:cs="Arial"/>
                <w:sz w:val="22"/>
                <w:szCs w:val="22"/>
              </w:rPr>
              <w:t>an overview of</w:t>
            </w:r>
            <w:r>
              <w:rPr>
                <w:rFonts w:ascii="Arial" w:hAnsi="Arial" w:cs="Arial"/>
                <w:sz w:val="22"/>
                <w:szCs w:val="22"/>
              </w:rPr>
              <w:t xml:space="preserve"> performing v</w:t>
            </w:r>
            <w:r w:rsidRPr="00150C6F">
              <w:rPr>
                <w:rFonts w:ascii="Arial" w:hAnsi="Arial" w:cs="Arial"/>
                <w:sz w:val="22"/>
                <w:szCs w:val="22"/>
              </w:rPr>
              <w:t>ibration controlled transient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C6F">
              <w:rPr>
                <w:rFonts w:ascii="Arial" w:hAnsi="Arial" w:cs="Arial"/>
                <w:sz w:val="22"/>
                <w:szCs w:val="22"/>
              </w:rPr>
              <w:t>elastography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liver.</w:t>
            </w:r>
            <w:r w:rsidRPr="00150C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A0AF8E" w14:textId="77777777" w:rsidR="00733C41" w:rsidRPr="008B7F05" w:rsidRDefault="00733C41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017" w:rsidRPr="00CC47BE" w14:paraId="4D17DB60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5250" w14:textId="77777777" w:rsidR="00EA3017" w:rsidRPr="00CC47BE" w:rsidRDefault="00EA3017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C47BE">
              <w:rPr>
                <w:rFonts w:ascii="Arial" w:hAnsi="Arial" w:cs="Arial"/>
                <w:b/>
                <w:sz w:val="22"/>
                <w:szCs w:val="22"/>
              </w:rPr>
              <w:t>Protocol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845B" w14:textId="77777777" w:rsidR="00035143" w:rsidRDefault="00E944C1" w:rsidP="006E15C0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of </w:t>
            </w:r>
            <w:r w:rsidR="00150C6F">
              <w:rPr>
                <w:rFonts w:ascii="Arial" w:hAnsi="Arial" w:cs="Arial"/>
                <w:b/>
                <w:bCs/>
                <w:sz w:val="22"/>
                <w:szCs w:val="22"/>
              </w:rPr>
              <w:t>Determining Liver Fibrosis by Transient Elastography (Fibro</w:t>
            </w:r>
            <w:r w:rsidR="00834A7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50C6F">
              <w:rPr>
                <w:rFonts w:ascii="Arial" w:hAnsi="Arial" w:cs="Arial"/>
                <w:b/>
                <w:bCs/>
                <w:sz w:val="22"/>
                <w:szCs w:val="22"/>
              </w:rPr>
              <w:t>can®)</w:t>
            </w:r>
          </w:p>
          <w:p w14:paraId="25EC60DD" w14:textId="77777777" w:rsidR="008624B1" w:rsidRDefault="008624B1" w:rsidP="00150C6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84CD4E6" w14:textId="77777777" w:rsidR="008624B1" w:rsidRDefault="008624B1" w:rsidP="00150C6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624B1">
              <w:rPr>
                <w:rFonts w:ascii="Arial" w:hAnsi="Arial" w:cs="Arial"/>
                <w:sz w:val="22"/>
                <w:szCs w:val="22"/>
              </w:rPr>
              <w:t>Fibro</w:t>
            </w:r>
            <w:r w:rsidR="00834A74">
              <w:rPr>
                <w:rFonts w:ascii="Arial" w:hAnsi="Arial" w:cs="Arial"/>
                <w:sz w:val="22"/>
                <w:szCs w:val="22"/>
              </w:rPr>
              <w:t>S</w:t>
            </w:r>
            <w:r w:rsidRPr="008624B1">
              <w:rPr>
                <w:rFonts w:ascii="Arial" w:hAnsi="Arial" w:cs="Arial"/>
                <w:sz w:val="22"/>
                <w:szCs w:val="22"/>
              </w:rPr>
              <w:t>can®</w:t>
            </w:r>
            <w:r>
              <w:rPr>
                <w:rFonts w:ascii="Arial" w:hAnsi="Arial" w:cs="Arial"/>
                <w:sz w:val="22"/>
                <w:szCs w:val="22"/>
              </w:rPr>
              <w:t xml:space="preserve"> technology produces </w:t>
            </w:r>
            <w:r w:rsidRPr="00150C6F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mechanically induced</w:t>
            </w:r>
            <w:r w:rsidRPr="00150C6F">
              <w:rPr>
                <w:rFonts w:ascii="Arial" w:hAnsi="Arial" w:cs="Arial"/>
                <w:sz w:val="22"/>
                <w:szCs w:val="22"/>
              </w:rPr>
              <w:t xml:space="preserve"> elastic shear wave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is propagated in the </w:t>
            </w:r>
            <w:r w:rsidRPr="00150C6F">
              <w:rPr>
                <w:rFonts w:ascii="Arial" w:hAnsi="Arial" w:cs="Arial"/>
                <w:sz w:val="22"/>
                <w:szCs w:val="22"/>
              </w:rPr>
              <w:t>liver</w:t>
            </w:r>
            <w:r>
              <w:rPr>
                <w:rFonts w:ascii="Arial" w:hAnsi="Arial" w:cs="Arial"/>
                <w:sz w:val="22"/>
                <w:szCs w:val="22"/>
              </w:rPr>
              <w:t xml:space="preserve">. An </w:t>
            </w:r>
            <w:r w:rsidRPr="00150C6F">
              <w:rPr>
                <w:rFonts w:ascii="Arial" w:hAnsi="Arial" w:cs="Arial"/>
                <w:sz w:val="22"/>
                <w:szCs w:val="22"/>
              </w:rPr>
              <w:t>ultrasound probe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C6F">
              <w:rPr>
                <w:rFonts w:ascii="Arial" w:hAnsi="Arial" w:cs="Arial"/>
                <w:sz w:val="22"/>
                <w:szCs w:val="22"/>
              </w:rPr>
              <w:t>a vibration transducer</w:t>
            </w:r>
            <w:r>
              <w:rPr>
                <w:rFonts w:ascii="Arial" w:hAnsi="Arial" w:cs="Arial"/>
                <w:sz w:val="22"/>
                <w:szCs w:val="22"/>
              </w:rPr>
              <w:t xml:space="preserve"> measures the speed of the wave</w:t>
            </w:r>
            <w:r w:rsidRPr="00150C6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F7CC1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he speed of the </w:t>
            </w:r>
            <w:r w:rsidRPr="00150C6F">
              <w:rPr>
                <w:rFonts w:ascii="Arial" w:hAnsi="Arial" w:cs="Arial"/>
                <w:sz w:val="22"/>
                <w:szCs w:val="22"/>
              </w:rPr>
              <w:t>shear wave</w:t>
            </w:r>
            <w:r>
              <w:rPr>
                <w:rFonts w:ascii="Arial" w:hAnsi="Arial" w:cs="Arial"/>
                <w:sz w:val="22"/>
                <w:szCs w:val="22"/>
              </w:rPr>
              <w:t xml:space="preserve"> is used to estimate liver stiffness, which is correlated with fibrosis.  </w:t>
            </w:r>
          </w:p>
          <w:p w14:paraId="36907ADC" w14:textId="77777777" w:rsidR="008624B1" w:rsidRDefault="008624B1" w:rsidP="00150C6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FC614C6" w14:textId="77777777" w:rsidR="00DC4BEE" w:rsidRPr="00150C6F" w:rsidRDefault="00150C6F" w:rsidP="00150C6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full description of </w:t>
            </w:r>
            <w:r w:rsidR="00BC2A48">
              <w:rPr>
                <w:rFonts w:ascii="Arial" w:hAnsi="Arial" w:cs="Arial"/>
                <w:sz w:val="22"/>
                <w:szCs w:val="22"/>
              </w:rPr>
              <w:t>the process for d</w:t>
            </w:r>
            <w:r w:rsidR="00BC2A48" w:rsidRPr="00BC2A48">
              <w:rPr>
                <w:rFonts w:ascii="Arial" w:hAnsi="Arial" w:cs="Arial"/>
                <w:sz w:val="22"/>
                <w:szCs w:val="22"/>
              </w:rPr>
              <w:t>etermining Liver Fibrosis by Transient Elastography</w:t>
            </w:r>
            <w:r w:rsidR="00BC2A48">
              <w:rPr>
                <w:rFonts w:ascii="Arial" w:hAnsi="Arial" w:cs="Arial"/>
                <w:sz w:val="22"/>
                <w:szCs w:val="22"/>
              </w:rPr>
              <w:t xml:space="preserve"> can be found in the Materials and Methods section of Sandrin et al., 2003. This includes the details of the Fibro</w:t>
            </w:r>
            <w:r w:rsidR="00834A74">
              <w:rPr>
                <w:rFonts w:ascii="Arial" w:hAnsi="Arial" w:cs="Arial"/>
                <w:sz w:val="22"/>
                <w:szCs w:val="22"/>
              </w:rPr>
              <w:t>S</w:t>
            </w:r>
            <w:r w:rsidR="00BC2A48">
              <w:rPr>
                <w:rFonts w:ascii="Arial" w:hAnsi="Arial" w:cs="Arial"/>
                <w:sz w:val="22"/>
                <w:szCs w:val="22"/>
              </w:rPr>
              <w:t xml:space="preserve">can® apparatus, propagation of the low-frequency excitation, estimation of liver elasticity, probe placement, measurement acquisition and statistical procedures.  </w:t>
            </w:r>
          </w:p>
        </w:tc>
      </w:tr>
      <w:tr w:rsidR="00733C41" w:rsidRPr="00CC47BE" w14:paraId="7DB2B418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DDD9" w14:textId="77777777" w:rsidR="00733C41" w:rsidRPr="00CC47BE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Participant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9DDC" w14:textId="77777777" w:rsidR="00733C41" w:rsidRPr="00223B1F" w:rsidRDefault="00BC2A48" w:rsidP="006E15C0">
            <w:pPr>
              <w:rPr>
                <w:rStyle w:val="DefaultChar"/>
                <w:sz w:val="22"/>
                <w:szCs w:val="22"/>
                <w:highlight w:val="yellow"/>
              </w:rPr>
            </w:pPr>
            <w:r w:rsidRPr="00BC2A48">
              <w:rPr>
                <w:rStyle w:val="DefaultChar"/>
                <w:sz w:val="22"/>
                <w:szCs w:val="22"/>
              </w:rPr>
              <w:t>Adults</w:t>
            </w:r>
            <w:r w:rsidR="00834A74">
              <w:rPr>
                <w:rStyle w:val="DefaultChar"/>
                <w:sz w:val="22"/>
                <w:szCs w:val="22"/>
              </w:rPr>
              <w:t>,</w:t>
            </w:r>
            <w:r w:rsidRPr="00BC2A48">
              <w:rPr>
                <w:rStyle w:val="DefaultChar"/>
                <w:sz w:val="22"/>
                <w:szCs w:val="22"/>
              </w:rPr>
              <w:t xml:space="preserve"> ages 18 and older</w:t>
            </w:r>
          </w:p>
        </w:tc>
      </w:tr>
      <w:tr w:rsidR="00733C41" w:rsidRPr="00CC47BE" w14:paraId="5280F086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FF3E" w14:textId="77777777" w:rsidR="00733C41" w:rsidRPr="00CC47BE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C47BE">
              <w:rPr>
                <w:rFonts w:ascii="Arial" w:hAnsi="Arial" w:cs="Arial"/>
                <w:b/>
                <w:sz w:val="22"/>
                <w:szCs w:val="22"/>
              </w:rPr>
              <w:t>Source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D78C" w14:textId="77777777" w:rsidR="00733C41" w:rsidRPr="008B7F05" w:rsidRDefault="00BC2A48" w:rsidP="006E15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C2A48">
              <w:rPr>
                <w:rFonts w:ascii="Arial" w:hAnsi="Arial" w:cs="Arial"/>
                <w:sz w:val="22"/>
                <w:szCs w:val="22"/>
              </w:rPr>
              <w:t xml:space="preserve">Sandrin, L., Fourquet, B., Hasquenoph, J. M., Yon, S., Fournier, C., Mal, F., Christidis, C., Ziol, M., Poulet, B., Kazemi, F., Beaugrand, M., </w:t>
            </w:r>
            <w:r w:rsidRPr="00BC2A48">
              <w:rPr>
                <w:rFonts w:ascii="Arial" w:hAnsi="Arial" w:cs="Arial"/>
                <w:sz w:val="22"/>
                <w:szCs w:val="22"/>
              </w:rPr>
              <w:lastRenderedPageBreak/>
              <w:t xml:space="preserve">&amp; Palau, R. (2003). Transient elastography: </w:t>
            </w:r>
            <w:r w:rsidR="003A4F29">
              <w:rPr>
                <w:rFonts w:ascii="Arial" w:hAnsi="Arial" w:cs="Arial"/>
                <w:sz w:val="22"/>
                <w:szCs w:val="22"/>
              </w:rPr>
              <w:t>A</w:t>
            </w:r>
            <w:r w:rsidRPr="00BC2A48">
              <w:rPr>
                <w:rFonts w:ascii="Arial" w:hAnsi="Arial" w:cs="Arial"/>
                <w:sz w:val="22"/>
                <w:szCs w:val="22"/>
              </w:rPr>
              <w:t xml:space="preserve"> new noninvasive method for assessment of hepatic fibrosis. </w:t>
            </w:r>
            <w:r w:rsidRPr="008624B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Ultrasound in </w:t>
            </w:r>
            <w:r w:rsidR="008624B1">
              <w:rPr>
                <w:rFonts w:ascii="Arial" w:hAnsi="Arial" w:cs="Arial"/>
                <w:i/>
                <w:iCs/>
                <w:sz w:val="22"/>
                <w:szCs w:val="22"/>
              </w:rPr>
              <w:t>M</w:t>
            </w:r>
            <w:r w:rsidRPr="008624B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edicine &amp; </w:t>
            </w:r>
            <w:r w:rsidR="008624B1">
              <w:rPr>
                <w:rFonts w:ascii="Arial" w:hAnsi="Arial" w:cs="Arial"/>
                <w:i/>
                <w:iCs/>
                <w:sz w:val="22"/>
                <w:szCs w:val="22"/>
              </w:rPr>
              <w:t>B</w:t>
            </w:r>
            <w:r w:rsidRPr="008624B1">
              <w:rPr>
                <w:rFonts w:ascii="Arial" w:hAnsi="Arial" w:cs="Arial"/>
                <w:i/>
                <w:iCs/>
                <w:sz w:val="22"/>
                <w:szCs w:val="22"/>
              </w:rPr>
              <w:t>iology, 29</w:t>
            </w:r>
            <w:r w:rsidRPr="00BC2A48">
              <w:rPr>
                <w:rFonts w:ascii="Arial" w:hAnsi="Arial" w:cs="Arial"/>
                <w:sz w:val="22"/>
                <w:szCs w:val="22"/>
              </w:rPr>
              <w:t xml:space="preserve">(12), 1705–1713. </w:t>
            </w:r>
          </w:p>
        </w:tc>
      </w:tr>
      <w:tr w:rsidR="00EA3017" w:rsidRPr="00CC47BE" w14:paraId="46C63454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1647" w14:textId="77777777" w:rsidR="00EA3017" w:rsidRPr="00CC47BE" w:rsidRDefault="00EA3017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C47BE">
              <w:rPr>
                <w:rFonts w:ascii="Arial" w:hAnsi="Arial" w:cs="Arial"/>
                <w:b/>
                <w:sz w:val="22"/>
                <w:szCs w:val="22"/>
              </w:rPr>
              <w:lastRenderedPageBreak/>
              <w:t>Language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Source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7436" w14:textId="77777777" w:rsidR="00EA3017" w:rsidRPr="008B7F05" w:rsidRDefault="008624B1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English </w:t>
            </w:r>
          </w:p>
        </w:tc>
      </w:tr>
      <w:tr w:rsidR="00733C41" w:rsidRPr="00CC47BE" w14:paraId="730F226C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45E5" w14:textId="77777777" w:rsidR="00733C41" w:rsidRPr="00B03D26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03D26">
              <w:rPr>
                <w:rFonts w:ascii="Arial" w:hAnsi="Arial" w:cs="Arial"/>
                <w:b/>
                <w:sz w:val="22"/>
                <w:szCs w:val="22"/>
              </w:rPr>
              <w:t>Personnel and Training Required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31B0" w14:textId="77777777" w:rsidR="00733C41" w:rsidRPr="00F837D1" w:rsidRDefault="008624B1" w:rsidP="006E15C0">
            <w:pPr>
              <w:contextualSpacing/>
              <w:rPr>
                <w:rStyle w:val="DefaultChar"/>
                <w:color w:val="auto"/>
                <w:sz w:val="22"/>
                <w:szCs w:val="22"/>
              </w:rPr>
            </w:pPr>
            <w:r w:rsidRPr="00F837D1">
              <w:rPr>
                <w:rStyle w:val="DefaultChar"/>
                <w:color w:val="auto"/>
                <w:sz w:val="22"/>
                <w:szCs w:val="22"/>
              </w:rPr>
              <w:t>Vibration controlled transient elastography by Fibroscan® should be administered by</w:t>
            </w:r>
            <w:r w:rsidR="003F7CC1" w:rsidRPr="00F837D1">
              <w:rPr>
                <w:rStyle w:val="DefaultChar"/>
                <w:color w:val="auto"/>
                <w:sz w:val="22"/>
                <w:szCs w:val="22"/>
              </w:rPr>
              <w:t xml:space="preserve"> appropriately</w:t>
            </w:r>
            <w:r w:rsidRPr="00F837D1">
              <w:rPr>
                <w:rStyle w:val="DefaultChar"/>
                <w:color w:val="auto"/>
                <w:sz w:val="22"/>
                <w:szCs w:val="22"/>
              </w:rPr>
              <w:t xml:space="preserve"> trained</w:t>
            </w:r>
            <w:r w:rsidR="003F7CC1" w:rsidRPr="00F837D1">
              <w:rPr>
                <w:rStyle w:val="DefaultChar"/>
                <w:color w:val="auto"/>
                <w:sz w:val="22"/>
                <w:szCs w:val="22"/>
              </w:rPr>
              <w:t xml:space="preserve"> personnel</w:t>
            </w:r>
            <w:r w:rsidRPr="00F837D1">
              <w:rPr>
                <w:rStyle w:val="DefaultChar"/>
                <w:color w:val="auto"/>
                <w:sz w:val="22"/>
                <w:szCs w:val="22"/>
              </w:rPr>
              <w:t xml:space="preserve"> and interpreted by clinicians (e.g., radiologists, </w:t>
            </w:r>
            <w:r w:rsidR="003F7CC1" w:rsidRPr="00F837D1">
              <w:rPr>
                <w:rStyle w:val="DefaultChar"/>
                <w:color w:val="auto"/>
                <w:sz w:val="22"/>
                <w:szCs w:val="22"/>
              </w:rPr>
              <w:t>hepatologists</w:t>
            </w:r>
            <w:r w:rsidRPr="00F837D1">
              <w:rPr>
                <w:rStyle w:val="DefaultChar"/>
                <w:color w:val="auto"/>
                <w:sz w:val="22"/>
                <w:szCs w:val="22"/>
              </w:rPr>
              <w:t>, hematologists) with relevant expertise.</w:t>
            </w:r>
          </w:p>
        </w:tc>
      </w:tr>
      <w:tr w:rsidR="00733C41" w:rsidRPr="00CC47BE" w14:paraId="7DCB502D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823F" w14:textId="77777777" w:rsidR="00733C41" w:rsidRPr="00C155D7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03D26">
              <w:rPr>
                <w:rFonts w:ascii="Arial" w:hAnsi="Arial" w:cs="Arial"/>
                <w:b/>
                <w:sz w:val="22"/>
                <w:szCs w:val="22"/>
              </w:rPr>
              <w:t>Equipment Needs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6BDA" w14:textId="77777777" w:rsidR="00733C41" w:rsidRPr="00732DED" w:rsidRDefault="008624B1" w:rsidP="006E15C0">
            <w:pPr>
              <w:contextualSpacing/>
              <w:rPr>
                <w:rStyle w:val="DefaultChar"/>
                <w:sz w:val="22"/>
                <w:szCs w:val="22"/>
              </w:rPr>
            </w:pPr>
            <w:r w:rsidRPr="008624B1">
              <w:rPr>
                <w:rStyle w:val="DefaultChar"/>
                <w:sz w:val="22"/>
                <w:szCs w:val="22"/>
              </w:rPr>
              <w:t>FibroScan</w:t>
            </w:r>
            <w:r w:rsidR="003F7AAC">
              <w:rPr>
                <w:rStyle w:val="DefaultChar"/>
                <w:sz w:val="22"/>
                <w:szCs w:val="22"/>
              </w:rPr>
              <w:t>®</w:t>
            </w:r>
            <w:r w:rsidRPr="008624B1">
              <w:rPr>
                <w:rStyle w:val="DefaultChar"/>
                <w:sz w:val="22"/>
                <w:szCs w:val="22"/>
              </w:rPr>
              <w:t xml:space="preserve"> medical device</w:t>
            </w:r>
            <w:r>
              <w:rPr>
                <w:rStyle w:val="DefaultChar"/>
                <w:sz w:val="22"/>
                <w:szCs w:val="22"/>
              </w:rPr>
              <w:t xml:space="preserve"> </w:t>
            </w:r>
          </w:p>
        </w:tc>
      </w:tr>
      <w:tr w:rsidR="00EA3017" w:rsidRPr="003F7AAC" w14:paraId="26BC11FE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C136" w14:textId="77777777" w:rsidR="00EA3017" w:rsidRPr="003F7AAC" w:rsidRDefault="00EA3017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F7AAC">
              <w:rPr>
                <w:rFonts w:ascii="Arial" w:hAnsi="Arial" w:cs="Arial"/>
                <w:b/>
                <w:sz w:val="22"/>
                <w:szCs w:val="22"/>
              </w:rPr>
              <w:t>Protocol Type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1FFD" w14:textId="77777777" w:rsidR="00736235" w:rsidRPr="003F7AAC" w:rsidRDefault="00196973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F171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Complex instrumentation-based assessment</w:t>
            </w:r>
          </w:p>
        </w:tc>
      </w:tr>
      <w:tr w:rsidR="00733C41" w:rsidRPr="003F7AAC" w14:paraId="6F37E324" w14:textId="77777777" w:rsidTr="006E15C0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F21A" w14:textId="77777777" w:rsidR="00733C41" w:rsidRPr="003F7AAC" w:rsidRDefault="00733C41" w:rsidP="006E15C0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F7AAC">
              <w:rPr>
                <w:rFonts w:ascii="Arial" w:hAnsi="Arial" w:cs="Arial"/>
                <w:b/>
                <w:sz w:val="22"/>
                <w:szCs w:val="22"/>
              </w:rPr>
              <w:t>General References</w:t>
            </w:r>
            <w:r w:rsidR="00401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8517" w14:textId="77777777" w:rsidR="003F7AAC" w:rsidRDefault="003F7AAC" w:rsidP="003F7AA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2B1B">
              <w:rPr>
                <w:rFonts w:ascii="Arial" w:hAnsi="Arial" w:cs="Arial"/>
                <w:sz w:val="22"/>
                <w:szCs w:val="22"/>
              </w:rPr>
              <w:t>Berry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2B1B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B1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92B1B">
              <w:rPr>
                <w:rFonts w:ascii="Arial" w:hAnsi="Arial" w:cs="Arial"/>
                <w:sz w:val="22"/>
                <w:szCs w:val="22"/>
              </w:rPr>
              <w:t>, Cross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2B1B">
              <w:rPr>
                <w:rFonts w:ascii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B1B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92B1B">
              <w:rPr>
                <w:rFonts w:ascii="Arial" w:hAnsi="Arial" w:cs="Arial"/>
                <w:sz w:val="22"/>
                <w:szCs w:val="22"/>
              </w:rPr>
              <w:t>, Thein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2B1B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B1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92B1B">
              <w:rPr>
                <w:rFonts w:ascii="Arial" w:hAnsi="Arial" w:cs="Arial"/>
                <w:sz w:val="22"/>
                <w:szCs w:val="22"/>
              </w:rPr>
              <w:t>, Portmann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2B1B">
              <w:rPr>
                <w:rFonts w:ascii="Arial" w:hAnsi="Arial" w:cs="Arial"/>
                <w:sz w:val="22"/>
                <w:szCs w:val="22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B1B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92B1B">
              <w:rPr>
                <w:rFonts w:ascii="Arial" w:hAnsi="Arial" w:cs="Arial"/>
                <w:sz w:val="22"/>
                <w:szCs w:val="22"/>
              </w:rPr>
              <w:t>, Wendon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2B1B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B1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92B1B">
              <w:rPr>
                <w:rFonts w:ascii="Arial" w:hAnsi="Arial" w:cs="Arial"/>
                <w:sz w:val="22"/>
                <w:szCs w:val="22"/>
              </w:rPr>
              <w:t>, Karani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2B1B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B1B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92B1B">
              <w:rPr>
                <w:rFonts w:ascii="Arial" w:hAnsi="Arial" w:cs="Arial"/>
                <w:sz w:val="22"/>
                <w:szCs w:val="22"/>
              </w:rPr>
              <w:t>, Heneghan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2B1B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B1B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92B1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992B1B">
              <w:rPr>
                <w:rFonts w:ascii="Arial" w:hAnsi="Arial" w:cs="Arial"/>
                <w:sz w:val="22"/>
                <w:szCs w:val="22"/>
              </w:rPr>
              <w:t>Bomford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2B1B">
              <w:rPr>
                <w:rFonts w:ascii="Arial" w:hAnsi="Arial" w:cs="Arial"/>
                <w:sz w:val="22"/>
                <w:szCs w:val="22"/>
              </w:rPr>
              <w:t xml:space="preserve"> A.</w:t>
            </w:r>
            <w:r>
              <w:rPr>
                <w:rFonts w:ascii="Arial" w:hAnsi="Arial" w:cs="Arial"/>
                <w:sz w:val="22"/>
                <w:szCs w:val="22"/>
              </w:rPr>
              <w:t xml:space="preserve"> (2007). </w:t>
            </w:r>
            <w:r w:rsidRPr="00992B1B">
              <w:rPr>
                <w:rFonts w:ascii="Arial" w:hAnsi="Arial" w:cs="Arial"/>
                <w:sz w:val="22"/>
                <w:szCs w:val="22"/>
              </w:rPr>
              <w:t xml:space="preserve">Hepatic dysfunction in sickle cell disease: </w:t>
            </w:r>
            <w:r w:rsidR="003A4F29">
              <w:rPr>
                <w:rFonts w:ascii="Arial" w:hAnsi="Arial" w:cs="Arial"/>
                <w:sz w:val="22"/>
                <w:szCs w:val="22"/>
              </w:rPr>
              <w:t>A</w:t>
            </w:r>
            <w:r w:rsidRPr="00992B1B">
              <w:rPr>
                <w:rFonts w:ascii="Arial" w:hAnsi="Arial" w:cs="Arial"/>
                <w:sz w:val="22"/>
                <w:szCs w:val="22"/>
              </w:rPr>
              <w:t xml:space="preserve"> new system of classification based on global assessment. </w:t>
            </w:r>
            <w:r w:rsidRPr="00EC05AF">
              <w:rPr>
                <w:rFonts w:ascii="Arial" w:hAnsi="Arial" w:cs="Arial"/>
                <w:i/>
                <w:iCs/>
                <w:sz w:val="22"/>
                <w:szCs w:val="22"/>
              </w:rPr>
              <w:t>Clinical Gastroenterology and Hepatology, 5</w:t>
            </w:r>
            <w:r w:rsidRPr="00992B1B">
              <w:rPr>
                <w:rFonts w:ascii="Arial" w:hAnsi="Arial" w:cs="Arial"/>
                <w:sz w:val="22"/>
                <w:szCs w:val="22"/>
              </w:rPr>
              <w:t>(12)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2B1B">
              <w:rPr>
                <w:rFonts w:ascii="Arial" w:hAnsi="Arial" w:cs="Arial"/>
                <w:sz w:val="22"/>
                <w:szCs w:val="22"/>
              </w:rPr>
              <w:t>1469</w:t>
            </w:r>
            <w:r w:rsidR="003A4F29">
              <w:rPr>
                <w:rFonts w:ascii="Arial" w:hAnsi="Arial" w:cs="Arial"/>
                <w:sz w:val="22"/>
                <w:szCs w:val="22"/>
              </w:rPr>
              <w:t>–1476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A5CC5A7" w14:textId="77777777" w:rsidR="003F7AAC" w:rsidRDefault="003F7AAC" w:rsidP="006E15C0">
            <w:pPr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4179314" w14:textId="77777777" w:rsidR="00733C41" w:rsidRPr="003F7AAC" w:rsidRDefault="00196973" w:rsidP="006E15C0">
            <w:pPr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Costa, P., Rudolph, B., Kogan-Liberman, D., Manwani, D., Silver, E. J., &amp; Ovchinsky, N. (2020). Liver </w:t>
            </w:r>
            <w:r w:rsidR="003A4F29"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stiffness measurement by vibration controlled transient elastography does not correlate to hepatic iron overload in children with sickle cell disease</w:t>
            </w:r>
            <w:r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 </w:t>
            </w:r>
            <w:r w:rsidRPr="003F7AA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Journal of Pediatric Hematology/</w:t>
            </w:r>
            <w:r w:rsidR="003A4F29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O</w:t>
            </w:r>
            <w:r w:rsidRPr="003F7AA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ncology</w:t>
            </w:r>
            <w:r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 </w:t>
            </w:r>
            <w:r w:rsidRPr="003F7AA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42</w:t>
            </w:r>
            <w:r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(3), 214–217. </w:t>
            </w:r>
          </w:p>
          <w:p w14:paraId="17721FF7" w14:textId="77777777" w:rsidR="00196973" w:rsidRPr="003F7AAC" w:rsidRDefault="00196973" w:rsidP="006E15C0">
            <w:pPr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040F4F7" w14:textId="77777777" w:rsidR="003F7AAC" w:rsidRDefault="003F7AAC" w:rsidP="003F7AA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C05AF">
              <w:rPr>
                <w:rFonts w:ascii="Arial" w:hAnsi="Arial" w:cs="Arial"/>
                <w:sz w:val="22"/>
                <w:szCs w:val="22"/>
              </w:rPr>
              <w:t>Feld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5AF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Kato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5AF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Koh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Shields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Hildesheim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Kleiner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5AF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Taylor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5A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6th, Sandler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5A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Douek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Haynes-Williams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Nichols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5A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Hoofnagle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5AF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.,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Jake Liang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C05AF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Gladwin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5AF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EC05AF">
              <w:rPr>
                <w:rFonts w:ascii="Arial" w:hAnsi="Arial" w:cs="Arial"/>
                <w:sz w:val="22"/>
                <w:szCs w:val="22"/>
              </w:rPr>
              <w:t>Heller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</w:rPr>
              <w:t xml:space="preserve">. (2015). </w:t>
            </w:r>
            <w:r w:rsidRPr="00EC05AF">
              <w:rPr>
                <w:rFonts w:ascii="Arial" w:hAnsi="Arial" w:cs="Arial"/>
                <w:sz w:val="22"/>
                <w:szCs w:val="22"/>
              </w:rPr>
              <w:t>Liver injury is associated with mortality in sickle cell disease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C05AF">
              <w:rPr>
                <w:rFonts w:ascii="Arial" w:hAnsi="Arial" w:cs="Arial"/>
                <w:i/>
                <w:iCs/>
                <w:sz w:val="22"/>
                <w:szCs w:val="22"/>
              </w:rPr>
              <w:t>Alimentary Pharmacology and Therapeutics, 42</w:t>
            </w:r>
            <w:r>
              <w:rPr>
                <w:rFonts w:ascii="Arial" w:hAnsi="Arial" w:cs="Arial"/>
                <w:sz w:val="22"/>
                <w:szCs w:val="22"/>
              </w:rPr>
              <w:t>(7), 912</w:t>
            </w:r>
            <w:r w:rsidR="003A4F29">
              <w:rPr>
                <w:rFonts w:ascii="Arial" w:hAnsi="Arial" w:cs="Arial"/>
                <w:sz w:val="22"/>
                <w:szCs w:val="22"/>
              </w:rPr>
              <w:t>–9</w:t>
            </w:r>
            <w:r>
              <w:rPr>
                <w:rFonts w:ascii="Arial" w:hAnsi="Arial" w:cs="Arial"/>
                <w:sz w:val="22"/>
                <w:szCs w:val="22"/>
              </w:rPr>
              <w:t xml:space="preserve">21. </w:t>
            </w:r>
          </w:p>
          <w:p w14:paraId="27025DFB" w14:textId="77777777" w:rsidR="003F7AAC" w:rsidRDefault="003F7AAC" w:rsidP="006E15C0">
            <w:pPr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0DC2D25" w14:textId="77777777" w:rsidR="00196973" w:rsidRPr="003F7AAC" w:rsidRDefault="00196973" w:rsidP="006E15C0">
            <w:pPr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Foucher, J., Chanteloup, E., Vergniol, J., Castéra, L., Le Bail, B., Adhoute, X., Bertet, J., Couzigou, P., &amp; de Lédinghen, V. (2006). Diagnosis of cirrhosis by transient elastography (FibroScan): </w:t>
            </w:r>
            <w:r w:rsidR="003A4F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</w:t>
            </w:r>
            <w:r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prospective study. </w:t>
            </w:r>
            <w:r w:rsidRPr="003F7AA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Gut</w:t>
            </w:r>
            <w:r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 </w:t>
            </w:r>
            <w:r w:rsidRPr="003F7AA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55</w:t>
            </w:r>
            <w:r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(3), 403–408. </w:t>
            </w:r>
          </w:p>
          <w:p w14:paraId="39BC9871" w14:textId="77777777" w:rsidR="00196973" w:rsidRPr="003F7AAC" w:rsidRDefault="00196973" w:rsidP="006E15C0">
            <w:pPr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3310324" w14:textId="77777777" w:rsidR="003F7AAC" w:rsidRDefault="003F7AAC" w:rsidP="003F7AA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C05AF">
              <w:rPr>
                <w:rFonts w:ascii="Arial" w:hAnsi="Arial" w:cs="Arial"/>
                <w:sz w:val="22"/>
                <w:szCs w:val="22"/>
              </w:rPr>
              <w:t>Jitraruch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Fitzpatrick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Deheragoda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Deganello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Mieli-Vergani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Height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Rees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>, Hadzic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A4F29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EC05AF">
              <w:rPr>
                <w:rFonts w:ascii="Arial" w:hAnsi="Arial" w:cs="Arial"/>
                <w:sz w:val="22"/>
                <w:szCs w:val="22"/>
              </w:rPr>
              <w:t>Samyn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M.</w:t>
            </w:r>
            <w:r>
              <w:rPr>
                <w:rFonts w:ascii="Arial" w:hAnsi="Arial" w:cs="Arial"/>
                <w:sz w:val="22"/>
                <w:szCs w:val="22"/>
              </w:rPr>
              <w:t xml:space="preserve"> (2017)</w:t>
            </w:r>
            <w:r w:rsidRPr="00EC05AF">
              <w:rPr>
                <w:rFonts w:ascii="Arial" w:hAnsi="Arial" w:cs="Arial"/>
                <w:sz w:val="22"/>
                <w:szCs w:val="22"/>
              </w:rPr>
              <w:t xml:space="preserve"> Autoimmune </w:t>
            </w:r>
            <w:r w:rsidR="003A4F29" w:rsidRPr="00EC05AF">
              <w:rPr>
                <w:rFonts w:ascii="Arial" w:hAnsi="Arial" w:cs="Arial"/>
                <w:sz w:val="22"/>
                <w:szCs w:val="22"/>
              </w:rPr>
              <w:t>liver disease in children with sickle cell disease</w:t>
            </w:r>
            <w:r w:rsidRPr="00EC05A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5AF">
              <w:rPr>
                <w:rFonts w:ascii="Arial" w:hAnsi="Arial" w:cs="Arial"/>
                <w:i/>
                <w:iCs/>
                <w:sz w:val="22"/>
                <w:szCs w:val="22"/>
              </w:rPr>
              <w:t>Journal of Pediatrics, 189</w:t>
            </w:r>
            <w:r>
              <w:rPr>
                <w:rFonts w:ascii="Arial" w:hAnsi="Arial" w:cs="Arial"/>
                <w:sz w:val="22"/>
                <w:szCs w:val="22"/>
              </w:rPr>
              <w:t>, 79</w:t>
            </w:r>
            <w:r w:rsidR="003A4F29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85.</w:t>
            </w:r>
          </w:p>
          <w:p w14:paraId="5A52389E" w14:textId="77777777" w:rsidR="003F7AAC" w:rsidRDefault="003F7AAC" w:rsidP="006E15C0">
            <w:pPr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F52FC9D" w14:textId="77777777" w:rsidR="00196973" w:rsidRDefault="003F7AAC" w:rsidP="006E15C0">
            <w:pPr>
              <w:contextualSpacing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Pinto, V. M., Gianesin, B., Balocco, M., Bacigalupo, L., &amp; Forni, G. L. (2017). Noninvasive monitoring of liver fibrosis in sickle cell disease: Longitudinal observation of a cohort of adult patients. </w:t>
            </w:r>
            <w:r w:rsidRPr="003F7AA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American </w:t>
            </w:r>
            <w:r w:rsidR="003A4F29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J</w:t>
            </w:r>
            <w:r w:rsidRPr="003F7AA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ournal of </w:t>
            </w:r>
            <w:r w:rsidR="003A4F29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H</w:t>
            </w:r>
            <w:r w:rsidRPr="003F7AA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ematology</w:t>
            </w:r>
            <w:r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 </w:t>
            </w:r>
            <w:r w:rsidRPr="003F7AAC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92</w:t>
            </w:r>
            <w:r w:rsidRPr="003F7AA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(12), E666–E668</w:t>
            </w:r>
            <w:r w:rsidRPr="003F7AA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4DB1C623" w14:textId="77777777" w:rsidR="003F7AAC" w:rsidRDefault="003F7AAC" w:rsidP="006E15C0">
            <w:pPr>
              <w:contextualSpacing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</w:p>
          <w:p w14:paraId="380B01E9" w14:textId="77777777" w:rsidR="003F7AAC" w:rsidRPr="00992B1B" w:rsidRDefault="003F7AAC" w:rsidP="003F7AA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1059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 xml:space="preserve">Theocharidou, E., </w:t>
            </w:r>
            <w:r w:rsidR="003A4F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&amp; </w:t>
            </w:r>
            <w:r w:rsidRPr="00B1059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Suddle, A.R., (2019). The </w:t>
            </w:r>
            <w:r w:rsidR="003A4F29" w:rsidRPr="00B1059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liver in sickle cell diseas</w:t>
            </w:r>
            <w:r w:rsidRPr="00B1059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e. </w:t>
            </w:r>
            <w:r w:rsidRPr="00B10596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Clinical Liver Disease, 23</w:t>
            </w:r>
            <w:r w:rsidRPr="00B1059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(2), 177</w:t>
            </w:r>
            <w:r w:rsidR="003A4F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–</w:t>
            </w:r>
            <w:r w:rsidRPr="00B1059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189. </w:t>
            </w:r>
          </w:p>
          <w:p w14:paraId="19550F47" w14:textId="77777777" w:rsidR="003F7AAC" w:rsidRPr="003F7AAC" w:rsidRDefault="003F7AAC" w:rsidP="006E15C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11DFCD" w14:textId="77777777" w:rsidR="003F496E" w:rsidRPr="003F7AAC" w:rsidRDefault="003F496E" w:rsidP="00C155D7">
      <w:pPr>
        <w:contextualSpacing/>
        <w:rPr>
          <w:rFonts w:ascii="Arial" w:hAnsi="Arial" w:cs="Arial"/>
        </w:rPr>
      </w:pPr>
    </w:p>
    <w:sectPr w:rsidR="003F496E" w:rsidRPr="003F7AAC" w:rsidSect="00C37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BB01" w14:textId="77777777" w:rsidR="00172F30" w:rsidRDefault="00172F30">
      <w:r>
        <w:separator/>
      </w:r>
    </w:p>
  </w:endnote>
  <w:endnote w:type="continuationSeparator" w:id="0">
    <w:p w14:paraId="2E6BB702" w14:textId="77777777" w:rsidR="00172F30" w:rsidRDefault="001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8D07" w14:textId="77777777" w:rsidR="005B5CA0" w:rsidRDefault="005B5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957E" w14:textId="77777777" w:rsidR="00953E6F" w:rsidRPr="00F837D1" w:rsidRDefault="00953E6F" w:rsidP="006E61F9">
    <w:pPr>
      <w:jc w:val="center"/>
      <w:rPr>
        <w:rFonts w:ascii="Arial" w:hAnsi="Arial" w:cs="Arial"/>
        <w:b/>
        <w:sz w:val="20"/>
        <w:szCs w:val="20"/>
      </w:rPr>
    </w:pPr>
    <w:r w:rsidRPr="00F837D1">
      <w:rPr>
        <w:rFonts w:ascii="Arial" w:hAnsi="Arial" w:cs="Arial"/>
        <w:b/>
        <w:sz w:val="20"/>
        <w:szCs w:val="20"/>
      </w:rPr>
      <w:t>PhenX Toolkit Supplemental Information</w:t>
    </w:r>
  </w:p>
  <w:p w14:paraId="2800DE7D" w14:textId="77777777" w:rsidR="00A93B52" w:rsidRPr="00F837D1" w:rsidRDefault="00F837D1" w:rsidP="00F837D1">
    <w:pPr>
      <w:jc w:val="center"/>
      <w:rPr>
        <w:rFonts w:ascii="Arial" w:hAnsi="Arial" w:cs="Arial"/>
        <w:b/>
        <w:bCs/>
        <w:sz w:val="20"/>
        <w:szCs w:val="20"/>
      </w:rPr>
    </w:pPr>
    <w:r w:rsidRPr="00F837D1">
      <w:rPr>
        <w:rFonts w:ascii="Arial" w:hAnsi="Arial" w:cs="Arial"/>
        <w:b/>
        <w:bCs/>
        <w:sz w:val="20"/>
        <w:szCs w:val="20"/>
      </w:rPr>
      <w:t>Determination of Liver Fibrosis by MR Elastography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9E19" w14:textId="77777777" w:rsidR="005B5CA0" w:rsidRDefault="005B5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A1E7" w14:textId="77777777" w:rsidR="00172F30" w:rsidRDefault="00172F30">
      <w:r>
        <w:separator/>
      </w:r>
    </w:p>
  </w:footnote>
  <w:footnote w:type="continuationSeparator" w:id="0">
    <w:p w14:paraId="37865652" w14:textId="77777777" w:rsidR="00172F30" w:rsidRDefault="0017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F9C5" w14:textId="77777777" w:rsidR="005B5CA0" w:rsidRDefault="005B5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18D" w14:textId="77777777" w:rsidR="00953E6F" w:rsidRDefault="00953E6F" w:rsidP="006E61F9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PhenX Toolkit Supplemental Information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  <w:p w14:paraId="4DCD1F1B" w14:textId="77777777" w:rsidR="00733C41" w:rsidRPr="005B5CA0" w:rsidRDefault="00733C41" w:rsidP="00733C41">
    <w:pPr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0"/>
        <w:szCs w:val="20"/>
      </w:rPr>
      <w:t xml:space="preserve">Domain: </w:t>
    </w:r>
    <w:r w:rsidR="005B5CA0" w:rsidRPr="005B5CA0">
      <w:rPr>
        <w:rFonts w:ascii="Arial" w:hAnsi="Arial" w:cs="Arial"/>
        <w:b/>
        <w:bCs/>
        <w:sz w:val="20"/>
        <w:szCs w:val="20"/>
      </w:rPr>
      <w:t>Sickle Cell Disease Curative Therapies</w:t>
    </w:r>
  </w:p>
  <w:p w14:paraId="512F2354" w14:textId="77777777" w:rsidR="00733C41" w:rsidRDefault="00733C41" w:rsidP="001902F9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Release Date:</w:t>
    </w:r>
    <w:r>
      <w:rPr>
        <w:rFonts w:ascii="Arial" w:hAnsi="Arial" w:cs="Arial"/>
        <w:b/>
        <w:sz w:val="20"/>
        <w:szCs w:val="20"/>
      </w:rPr>
      <w:tab/>
    </w:r>
  </w:p>
  <w:p w14:paraId="186B2329" w14:textId="77777777" w:rsidR="00953E6F" w:rsidRPr="006E61F9" w:rsidRDefault="00932385" w:rsidP="006E61F9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Determination of Liver Fibrosis by Transient Elastography</w:t>
    </w:r>
    <w:r w:rsidR="00953E6F" w:rsidRPr="006E61F9">
      <w:rPr>
        <w:rFonts w:ascii="Arial" w:hAnsi="Arial" w:cs="Arial"/>
        <w:b/>
        <w:sz w:val="20"/>
        <w:szCs w:val="20"/>
      </w:rPr>
      <w:tab/>
    </w:r>
    <w:r w:rsidR="00953E6F" w:rsidRPr="006E61F9">
      <w:rPr>
        <w:rFonts w:ascii="Arial" w:hAnsi="Arial" w:cs="Arial"/>
        <w:b/>
        <w:sz w:val="20"/>
        <w:szCs w:val="20"/>
      </w:rPr>
      <w:tab/>
    </w:r>
    <w:r w:rsidR="00953E6F" w:rsidRPr="006E61F9">
      <w:rPr>
        <w:rFonts w:ascii="Arial" w:hAnsi="Arial" w:cs="Arial"/>
        <w:b/>
        <w:sz w:val="20"/>
        <w:szCs w:val="20"/>
      </w:rPr>
      <w:tab/>
    </w:r>
    <w:r w:rsidR="00953E6F" w:rsidRPr="006E61F9">
      <w:rPr>
        <w:rFonts w:ascii="Arial" w:hAnsi="Arial" w:cs="Arial"/>
        <w:b/>
        <w:sz w:val="20"/>
        <w:szCs w:val="20"/>
      </w:rPr>
      <w:tab/>
    </w:r>
    <w:r w:rsidR="00953E6F" w:rsidRPr="006E61F9">
      <w:rPr>
        <w:rFonts w:ascii="Arial" w:hAnsi="Arial" w:cs="Arial"/>
        <w:b/>
        <w:sz w:val="20"/>
        <w:szCs w:val="20"/>
      </w:rPr>
      <w:tab/>
    </w:r>
  </w:p>
  <w:p w14:paraId="6130A6F9" w14:textId="77777777" w:rsidR="00953E6F" w:rsidRDefault="00953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0469" w14:textId="77777777" w:rsidR="005B5CA0" w:rsidRDefault="005B5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4C2"/>
    <w:multiLevelType w:val="hybridMultilevel"/>
    <w:tmpl w:val="55169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4FEC"/>
    <w:multiLevelType w:val="hybridMultilevel"/>
    <w:tmpl w:val="CD7EDC92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" w15:restartNumberingAfterBreak="0">
    <w:nsid w:val="12602EE9"/>
    <w:multiLevelType w:val="hybridMultilevel"/>
    <w:tmpl w:val="DAC2DB1E"/>
    <w:lvl w:ilvl="0" w:tplc="9E0E2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87D33"/>
    <w:multiLevelType w:val="hybridMultilevel"/>
    <w:tmpl w:val="91CA99F2"/>
    <w:lvl w:ilvl="0" w:tplc="7C7AB7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814071"/>
    <w:multiLevelType w:val="hybridMultilevel"/>
    <w:tmpl w:val="EBA2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1378A"/>
    <w:multiLevelType w:val="hybridMultilevel"/>
    <w:tmpl w:val="CF84BB74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7C790B8F"/>
    <w:multiLevelType w:val="hybridMultilevel"/>
    <w:tmpl w:val="A4F4B130"/>
    <w:lvl w:ilvl="0" w:tplc="66320596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tjA1N7EwMzczMbBU0lEKTi0uzszPAykwrAUA/54uWywAAAA="/>
  </w:docVars>
  <w:rsids>
    <w:rsidRoot w:val="00C20E03"/>
    <w:rsid w:val="0000234E"/>
    <w:rsid w:val="0000371A"/>
    <w:rsid w:val="00012AE8"/>
    <w:rsid w:val="00022213"/>
    <w:rsid w:val="00022357"/>
    <w:rsid w:val="00027BF8"/>
    <w:rsid w:val="00027F50"/>
    <w:rsid w:val="00034A43"/>
    <w:rsid w:val="00035143"/>
    <w:rsid w:val="00036636"/>
    <w:rsid w:val="00041101"/>
    <w:rsid w:val="000449BC"/>
    <w:rsid w:val="000454A2"/>
    <w:rsid w:val="000521A6"/>
    <w:rsid w:val="00054254"/>
    <w:rsid w:val="00055008"/>
    <w:rsid w:val="00073724"/>
    <w:rsid w:val="000753CA"/>
    <w:rsid w:val="000757B2"/>
    <w:rsid w:val="0007791C"/>
    <w:rsid w:val="00086B33"/>
    <w:rsid w:val="000908D3"/>
    <w:rsid w:val="000913FF"/>
    <w:rsid w:val="00091B07"/>
    <w:rsid w:val="000948ED"/>
    <w:rsid w:val="000A64F2"/>
    <w:rsid w:val="000C4564"/>
    <w:rsid w:val="000D0F67"/>
    <w:rsid w:val="000D37EF"/>
    <w:rsid w:val="000E32B2"/>
    <w:rsid w:val="000F6FE6"/>
    <w:rsid w:val="00117985"/>
    <w:rsid w:val="00120BDC"/>
    <w:rsid w:val="00127C66"/>
    <w:rsid w:val="001362C0"/>
    <w:rsid w:val="00145CDB"/>
    <w:rsid w:val="0015097C"/>
    <w:rsid w:val="00150C6F"/>
    <w:rsid w:val="00152E56"/>
    <w:rsid w:val="00163231"/>
    <w:rsid w:val="00166E2A"/>
    <w:rsid w:val="00172E1C"/>
    <w:rsid w:val="00172F30"/>
    <w:rsid w:val="0017784A"/>
    <w:rsid w:val="00183973"/>
    <w:rsid w:val="001902F9"/>
    <w:rsid w:val="00196973"/>
    <w:rsid w:val="00196D1F"/>
    <w:rsid w:val="001A2D35"/>
    <w:rsid w:val="001A419B"/>
    <w:rsid w:val="001B09DA"/>
    <w:rsid w:val="001B0B9D"/>
    <w:rsid w:val="001B0CA5"/>
    <w:rsid w:val="001B73D0"/>
    <w:rsid w:val="001C7AF5"/>
    <w:rsid w:val="001D2DF4"/>
    <w:rsid w:val="001D3952"/>
    <w:rsid w:val="001D6184"/>
    <w:rsid w:val="001E09FF"/>
    <w:rsid w:val="001E36C0"/>
    <w:rsid w:val="001F69B9"/>
    <w:rsid w:val="00202C57"/>
    <w:rsid w:val="00214DD1"/>
    <w:rsid w:val="00223B1F"/>
    <w:rsid w:val="00252180"/>
    <w:rsid w:val="00253013"/>
    <w:rsid w:val="00253655"/>
    <w:rsid w:val="00254644"/>
    <w:rsid w:val="002611D8"/>
    <w:rsid w:val="00262A7E"/>
    <w:rsid w:val="00267FEC"/>
    <w:rsid w:val="00273682"/>
    <w:rsid w:val="00275CD2"/>
    <w:rsid w:val="002806C3"/>
    <w:rsid w:val="00280A6F"/>
    <w:rsid w:val="00280FDC"/>
    <w:rsid w:val="00282E2F"/>
    <w:rsid w:val="00283D7C"/>
    <w:rsid w:val="00285B36"/>
    <w:rsid w:val="0029042F"/>
    <w:rsid w:val="00292A73"/>
    <w:rsid w:val="002A54A1"/>
    <w:rsid w:val="002B2A5B"/>
    <w:rsid w:val="002B2AC4"/>
    <w:rsid w:val="002B592B"/>
    <w:rsid w:val="002C076E"/>
    <w:rsid w:val="002C7EAF"/>
    <w:rsid w:val="002D786B"/>
    <w:rsid w:val="002E0B4A"/>
    <w:rsid w:val="002E6D16"/>
    <w:rsid w:val="002F171B"/>
    <w:rsid w:val="0030486B"/>
    <w:rsid w:val="003071EB"/>
    <w:rsid w:val="003113E2"/>
    <w:rsid w:val="00313506"/>
    <w:rsid w:val="0032473F"/>
    <w:rsid w:val="00332DD4"/>
    <w:rsid w:val="003332F5"/>
    <w:rsid w:val="00343BA0"/>
    <w:rsid w:val="0034758A"/>
    <w:rsid w:val="003527D9"/>
    <w:rsid w:val="00360B03"/>
    <w:rsid w:val="0036123A"/>
    <w:rsid w:val="0036273F"/>
    <w:rsid w:val="00365DAA"/>
    <w:rsid w:val="00366447"/>
    <w:rsid w:val="0037033A"/>
    <w:rsid w:val="00371848"/>
    <w:rsid w:val="00372919"/>
    <w:rsid w:val="00374F77"/>
    <w:rsid w:val="0037545E"/>
    <w:rsid w:val="00376052"/>
    <w:rsid w:val="00376CF0"/>
    <w:rsid w:val="00380121"/>
    <w:rsid w:val="00382344"/>
    <w:rsid w:val="00385778"/>
    <w:rsid w:val="003876F1"/>
    <w:rsid w:val="00390376"/>
    <w:rsid w:val="00391291"/>
    <w:rsid w:val="0039407C"/>
    <w:rsid w:val="003A193B"/>
    <w:rsid w:val="003A4F29"/>
    <w:rsid w:val="003A65BD"/>
    <w:rsid w:val="003B3B06"/>
    <w:rsid w:val="003B6173"/>
    <w:rsid w:val="003C1872"/>
    <w:rsid w:val="003C71A4"/>
    <w:rsid w:val="003C71FE"/>
    <w:rsid w:val="003C7C18"/>
    <w:rsid w:val="003D42CE"/>
    <w:rsid w:val="003D7D49"/>
    <w:rsid w:val="003E28A8"/>
    <w:rsid w:val="003E39A5"/>
    <w:rsid w:val="003E3DEB"/>
    <w:rsid w:val="003E65E5"/>
    <w:rsid w:val="003F2C92"/>
    <w:rsid w:val="003F4091"/>
    <w:rsid w:val="003F42D5"/>
    <w:rsid w:val="003F4866"/>
    <w:rsid w:val="003F496E"/>
    <w:rsid w:val="003F7AAC"/>
    <w:rsid w:val="003F7CC1"/>
    <w:rsid w:val="00401737"/>
    <w:rsid w:val="004028E0"/>
    <w:rsid w:val="00402E79"/>
    <w:rsid w:val="00406CE7"/>
    <w:rsid w:val="00410802"/>
    <w:rsid w:val="0041178E"/>
    <w:rsid w:val="004252BF"/>
    <w:rsid w:val="004376E8"/>
    <w:rsid w:val="004379D7"/>
    <w:rsid w:val="004448DC"/>
    <w:rsid w:val="00452D43"/>
    <w:rsid w:val="00461798"/>
    <w:rsid w:val="0046535B"/>
    <w:rsid w:val="00471B3C"/>
    <w:rsid w:val="00471ED4"/>
    <w:rsid w:val="00473109"/>
    <w:rsid w:val="00483B1D"/>
    <w:rsid w:val="00490CE7"/>
    <w:rsid w:val="00494A0F"/>
    <w:rsid w:val="004970EE"/>
    <w:rsid w:val="004B2D7C"/>
    <w:rsid w:val="004B31B6"/>
    <w:rsid w:val="004B7246"/>
    <w:rsid w:val="004C1B25"/>
    <w:rsid w:val="004C4128"/>
    <w:rsid w:val="004C4759"/>
    <w:rsid w:val="004C498C"/>
    <w:rsid w:val="004C74EF"/>
    <w:rsid w:val="004D19F9"/>
    <w:rsid w:val="004D4226"/>
    <w:rsid w:val="004D424D"/>
    <w:rsid w:val="004D4B70"/>
    <w:rsid w:val="004D5B7A"/>
    <w:rsid w:val="004E009F"/>
    <w:rsid w:val="004E15AC"/>
    <w:rsid w:val="004E31B3"/>
    <w:rsid w:val="004E50F3"/>
    <w:rsid w:val="004F375D"/>
    <w:rsid w:val="004F3897"/>
    <w:rsid w:val="005043E3"/>
    <w:rsid w:val="00504910"/>
    <w:rsid w:val="00505DA2"/>
    <w:rsid w:val="005127A0"/>
    <w:rsid w:val="0051386F"/>
    <w:rsid w:val="00516EDC"/>
    <w:rsid w:val="00525119"/>
    <w:rsid w:val="00526E17"/>
    <w:rsid w:val="005332E6"/>
    <w:rsid w:val="00535BF6"/>
    <w:rsid w:val="00540DA0"/>
    <w:rsid w:val="00546F71"/>
    <w:rsid w:val="0054715E"/>
    <w:rsid w:val="00551D0D"/>
    <w:rsid w:val="0055215F"/>
    <w:rsid w:val="0055372A"/>
    <w:rsid w:val="00553CB2"/>
    <w:rsid w:val="00561D61"/>
    <w:rsid w:val="00563576"/>
    <w:rsid w:val="005646B4"/>
    <w:rsid w:val="0056792D"/>
    <w:rsid w:val="00570018"/>
    <w:rsid w:val="0057674A"/>
    <w:rsid w:val="00580FD1"/>
    <w:rsid w:val="005853DF"/>
    <w:rsid w:val="00591DB5"/>
    <w:rsid w:val="005930AD"/>
    <w:rsid w:val="00593614"/>
    <w:rsid w:val="005A2CB0"/>
    <w:rsid w:val="005A32A6"/>
    <w:rsid w:val="005A387F"/>
    <w:rsid w:val="005A47DD"/>
    <w:rsid w:val="005B5CA0"/>
    <w:rsid w:val="005B7525"/>
    <w:rsid w:val="005C0225"/>
    <w:rsid w:val="005C33FC"/>
    <w:rsid w:val="005D0F28"/>
    <w:rsid w:val="005D42F5"/>
    <w:rsid w:val="005E3839"/>
    <w:rsid w:val="005F0891"/>
    <w:rsid w:val="005F6081"/>
    <w:rsid w:val="00612017"/>
    <w:rsid w:val="0061329C"/>
    <w:rsid w:val="0061352F"/>
    <w:rsid w:val="006231FE"/>
    <w:rsid w:val="0063063B"/>
    <w:rsid w:val="00632CD9"/>
    <w:rsid w:val="006449C8"/>
    <w:rsid w:val="00655353"/>
    <w:rsid w:val="00681CC3"/>
    <w:rsid w:val="00682081"/>
    <w:rsid w:val="00683C2B"/>
    <w:rsid w:val="006847BB"/>
    <w:rsid w:val="006902DF"/>
    <w:rsid w:val="006921AD"/>
    <w:rsid w:val="00696AC7"/>
    <w:rsid w:val="006A2407"/>
    <w:rsid w:val="006A3903"/>
    <w:rsid w:val="006A7C2D"/>
    <w:rsid w:val="006B0544"/>
    <w:rsid w:val="006B1B8C"/>
    <w:rsid w:val="006C41DD"/>
    <w:rsid w:val="006D058F"/>
    <w:rsid w:val="006D0622"/>
    <w:rsid w:val="006D20EB"/>
    <w:rsid w:val="006D6827"/>
    <w:rsid w:val="006E15C0"/>
    <w:rsid w:val="006E1B28"/>
    <w:rsid w:val="006E1D3F"/>
    <w:rsid w:val="006E605E"/>
    <w:rsid w:val="006E61F9"/>
    <w:rsid w:val="006F2E33"/>
    <w:rsid w:val="006F4ED9"/>
    <w:rsid w:val="006F77AD"/>
    <w:rsid w:val="00700BE9"/>
    <w:rsid w:val="00702FB1"/>
    <w:rsid w:val="0070516E"/>
    <w:rsid w:val="00716FF6"/>
    <w:rsid w:val="007234C6"/>
    <w:rsid w:val="007239E1"/>
    <w:rsid w:val="00727338"/>
    <w:rsid w:val="0073089F"/>
    <w:rsid w:val="00733C41"/>
    <w:rsid w:val="0073482F"/>
    <w:rsid w:val="00736235"/>
    <w:rsid w:val="00745268"/>
    <w:rsid w:val="007465A6"/>
    <w:rsid w:val="00752C0E"/>
    <w:rsid w:val="007532A7"/>
    <w:rsid w:val="0075506E"/>
    <w:rsid w:val="00756B1C"/>
    <w:rsid w:val="007615F3"/>
    <w:rsid w:val="007626E8"/>
    <w:rsid w:val="00770D49"/>
    <w:rsid w:val="00783CC5"/>
    <w:rsid w:val="0078620D"/>
    <w:rsid w:val="00790231"/>
    <w:rsid w:val="00791701"/>
    <w:rsid w:val="00793F0B"/>
    <w:rsid w:val="0079426A"/>
    <w:rsid w:val="00797FE3"/>
    <w:rsid w:val="007A41FB"/>
    <w:rsid w:val="007B01FF"/>
    <w:rsid w:val="007B0A2A"/>
    <w:rsid w:val="007B2F3D"/>
    <w:rsid w:val="007B6CDB"/>
    <w:rsid w:val="007C044C"/>
    <w:rsid w:val="007D0454"/>
    <w:rsid w:val="007D3C68"/>
    <w:rsid w:val="007E34DC"/>
    <w:rsid w:val="007F156F"/>
    <w:rsid w:val="007F263E"/>
    <w:rsid w:val="007F3D7E"/>
    <w:rsid w:val="007F7390"/>
    <w:rsid w:val="00801EC3"/>
    <w:rsid w:val="00803777"/>
    <w:rsid w:val="008069B2"/>
    <w:rsid w:val="00812E69"/>
    <w:rsid w:val="0081355F"/>
    <w:rsid w:val="00821DE7"/>
    <w:rsid w:val="00833727"/>
    <w:rsid w:val="008348A5"/>
    <w:rsid w:val="00834A74"/>
    <w:rsid w:val="00835380"/>
    <w:rsid w:val="00843A7C"/>
    <w:rsid w:val="00846708"/>
    <w:rsid w:val="0085797D"/>
    <w:rsid w:val="00861B93"/>
    <w:rsid w:val="008624B1"/>
    <w:rsid w:val="008656BD"/>
    <w:rsid w:val="008729AF"/>
    <w:rsid w:val="0087790C"/>
    <w:rsid w:val="00881323"/>
    <w:rsid w:val="00882A14"/>
    <w:rsid w:val="00884765"/>
    <w:rsid w:val="008B271F"/>
    <w:rsid w:val="008B4EA6"/>
    <w:rsid w:val="008B558B"/>
    <w:rsid w:val="008B7F05"/>
    <w:rsid w:val="008C5FC6"/>
    <w:rsid w:val="008F1359"/>
    <w:rsid w:val="008F2508"/>
    <w:rsid w:val="009159B1"/>
    <w:rsid w:val="00923397"/>
    <w:rsid w:val="00932385"/>
    <w:rsid w:val="0093276B"/>
    <w:rsid w:val="0093669A"/>
    <w:rsid w:val="00941225"/>
    <w:rsid w:val="00953E6F"/>
    <w:rsid w:val="00972155"/>
    <w:rsid w:val="009724D2"/>
    <w:rsid w:val="00976799"/>
    <w:rsid w:val="009803A2"/>
    <w:rsid w:val="009820AE"/>
    <w:rsid w:val="0098406B"/>
    <w:rsid w:val="009874F7"/>
    <w:rsid w:val="009A4377"/>
    <w:rsid w:val="009C21EF"/>
    <w:rsid w:val="009D0C95"/>
    <w:rsid w:val="009D6444"/>
    <w:rsid w:val="009E0457"/>
    <w:rsid w:val="009E31D9"/>
    <w:rsid w:val="009E55D3"/>
    <w:rsid w:val="009E5E9E"/>
    <w:rsid w:val="009F02DD"/>
    <w:rsid w:val="009F4410"/>
    <w:rsid w:val="00A00242"/>
    <w:rsid w:val="00A060CC"/>
    <w:rsid w:val="00A122E5"/>
    <w:rsid w:val="00A14486"/>
    <w:rsid w:val="00A22664"/>
    <w:rsid w:val="00A2730E"/>
    <w:rsid w:val="00A443C9"/>
    <w:rsid w:val="00A47807"/>
    <w:rsid w:val="00A538BD"/>
    <w:rsid w:val="00A56B27"/>
    <w:rsid w:val="00A62B19"/>
    <w:rsid w:val="00A676CF"/>
    <w:rsid w:val="00A76AB9"/>
    <w:rsid w:val="00A80426"/>
    <w:rsid w:val="00A9362C"/>
    <w:rsid w:val="00A93B52"/>
    <w:rsid w:val="00A94001"/>
    <w:rsid w:val="00A97EAC"/>
    <w:rsid w:val="00AB15FA"/>
    <w:rsid w:val="00AB5DE3"/>
    <w:rsid w:val="00AB6D81"/>
    <w:rsid w:val="00AC3AF0"/>
    <w:rsid w:val="00AC505B"/>
    <w:rsid w:val="00AC666E"/>
    <w:rsid w:val="00AD0120"/>
    <w:rsid w:val="00AD3150"/>
    <w:rsid w:val="00AE0C3D"/>
    <w:rsid w:val="00AE56EB"/>
    <w:rsid w:val="00AF04C6"/>
    <w:rsid w:val="00B03D26"/>
    <w:rsid w:val="00B12118"/>
    <w:rsid w:val="00B133BB"/>
    <w:rsid w:val="00B14698"/>
    <w:rsid w:val="00B14802"/>
    <w:rsid w:val="00B175FE"/>
    <w:rsid w:val="00B2798A"/>
    <w:rsid w:val="00B33BCC"/>
    <w:rsid w:val="00B464AC"/>
    <w:rsid w:val="00B55D3E"/>
    <w:rsid w:val="00B5742E"/>
    <w:rsid w:val="00B6076F"/>
    <w:rsid w:val="00B66779"/>
    <w:rsid w:val="00B67BD3"/>
    <w:rsid w:val="00B7592A"/>
    <w:rsid w:val="00B75966"/>
    <w:rsid w:val="00B83777"/>
    <w:rsid w:val="00B84B0B"/>
    <w:rsid w:val="00B87AA2"/>
    <w:rsid w:val="00B94704"/>
    <w:rsid w:val="00BA085F"/>
    <w:rsid w:val="00BA11AC"/>
    <w:rsid w:val="00BA3E27"/>
    <w:rsid w:val="00BB563F"/>
    <w:rsid w:val="00BB7023"/>
    <w:rsid w:val="00BC2A48"/>
    <w:rsid w:val="00BC6CD8"/>
    <w:rsid w:val="00BD0169"/>
    <w:rsid w:val="00BD49FE"/>
    <w:rsid w:val="00BD54D9"/>
    <w:rsid w:val="00BF0642"/>
    <w:rsid w:val="00C0327B"/>
    <w:rsid w:val="00C1199F"/>
    <w:rsid w:val="00C12996"/>
    <w:rsid w:val="00C155D7"/>
    <w:rsid w:val="00C20E03"/>
    <w:rsid w:val="00C21B78"/>
    <w:rsid w:val="00C24E3A"/>
    <w:rsid w:val="00C37351"/>
    <w:rsid w:val="00C37848"/>
    <w:rsid w:val="00C41D6A"/>
    <w:rsid w:val="00C45485"/>
    <w:rsid w:val="00C46D10"/>
    <w:rsid w:val="00C47C72"/>
    <w:rsid w:val="00C521A3"/>
    <w:rsid w:val="00C52980"/>
    <w:rsid w:val="00C53D46"/>
    <w:rsid w:val="00C64BE2"/>
    <w:rsid w:val="00C76583"/>
    <w:rsid w:val="00C861B8"/>
    <w:rsid w:val="00C86E48"/>
    <w:rsid w:val="00C92890"/>
    <w:rsid w:val="00C93844"/>
    <w:rsid w:val="00C97D81"/>
    <w:rsid w:val="00CA7346"/>
    <w:rsid w:val="00CB345A"/>
    <w:rsid w:val="00CC0873"/>
    <w:rsid w:val="00CC47BE"/>
    <w:rsid w:val="00CC61AF"/>
    <w:rsid w:val="00CD77D5"/>
    <w:rsid w:val="00CE4EE7"/>
    <w:rsid w:val="00D06D76"/>
    <w:rsid w:val="00D11D9B"/>
    <w:rsid w:val="00D2665B"/>
    <w:rsid w:val="00D53721"/>
    <w:rsid w:val="00D654B5"/>
    <w:rsid w:val="00D74497"/>
    <w:rsid w:val="00D92D7E"/>
    <w:rsid w:val="00DA36D2"/>
    <w:rsid w:val="00DA3C7C"/>
    <w:rsid w:val="00DB1449"/>
    <w:rsid w:val="00DB5258"/>
    <w:rsid w:val="00DC4BEE"/>
    <w:rsid w:val="00DD3B2F"/>
    <w:rsid w:val="00DD414D"/>
    <w:rsid w:val="00DD510B"/>
    <w:rsid w:val="00DD67DF"/>
    <w:rsid w:val="00DE1DF8"/>
    <w:rsid w:val="00DE33F5"/>
    <w:rsid w:val="00DF66EE"/>
    <w:rsid w:val="00E02CC2"/>
    <w:rsid w:val="00E12F02"/>
    <w:rsid w:val="00E131D0"/>
    <w:rsid w:val="00E16FD5"/>
    <w:rsid w:val="00E30A4A"/>
    <w:rsid w:val="00E32F84"/>
    <w:rsid w:val="00E3418F"/>
    <w:rsid w:val="00E34639"/>
    <w:rsid w:val="00E36072"/>
    <w:rsid w:val="00E51FF0"/>
    <w:rsid w:val="00E5309A"/>
    <w:rsid w:val="00E54DCE"/>
    <w:rsid w:val="00E55575"/>
    <w:rsid w:val="00E57C4A"/>
    <w:rsid w:val="00E60B68"/>
    <w:rsid w:val="00E63747"/>
    <w:rsid w:val="00E6696E"/>
    <w:rsid w:val="00E70281"/>
    <w:rsid w:val="00E82F41"/>
    <w:rsid w:val="00E85D39"/>
    <w:rsid w:val="00E87BBD"/>
    <w:rsid w:val="00E92B0A"/>
    <w:rsid w:val="00E944C1"/>
    <w:rsid w:val="00E96CFC"/>
    <w:rsid w:val="00EA0040"/>
    <w:rsid w:val="00EA0917"/>
    <w:rsid w:val="00EA3017"/>
    <w:rsid w:val="00EA7EBA"/>
    <w:rsid w:val="00EC1356"/>
    <w:rsid w:val="00EC55C3"/>
    <w:rsid w:val="00EC67EF"/>
    <w:rsid w:val="00EC7367"/>
    <w:rsid w:val="00EE05E4"/>
    <w:rsid w:val="00EE15A8"/>
    <w:rsid w:val="00EF3807"/>
    <w:rsid w:val="00F00502"/>
    <w:rsid w:val="00F026EF"/>
    <w:rsid w:val="00F05182"/>
    <w:rsid w:val="00F061B7"/>
    <w:rsid w:val="00F107F5"/>
    <w:rsid w:val="00F128E2"/>
    <w:rsid w:val="00F13820"/>
    <w:rsid w:val="00F150D3"/>
    <w:rsid w:val="00F17044"/>
    <w:rsid w:val="00F25559"/>
    <w:rsid w:val="00F26931"/>
    <w:rsid w:val="00F27E7E"/>
    <w:rsid w:val="00F3503D"/>
    <w:rsid w:val="00F37390"/>
    <w:rsid w:val="00F4017F"/>
    <w:rsid w:val="00F44529"/>
    <w:rsid w:val="00F46A6C"/>
    <w:rsid w:val="00F6197D"/>
    <w:rsid w:val="00F61AEA"/>
    <w:rsid w:val="00F7031A"/>
    <w:rsid w:val="00F7512C"/>
    <w:rsid w:val="00F81C98"/>
    <w:rsid w:val="00F837D1"/>
    <w:rsid w:val="00F87BCC"/>
    <w:rsid w:val="00F9334E"/>
    <w:rsid w:val="00FA1486"/>
    <w:rsid w:val="00FA1DAB"/>
    <w:rsid w:val="00FA1E1C"/>
    <w:rsid w:val="00FA6DBE"/>
    <w:rsid w:val="00FC0AEF"/>
    <w:rsid w:val="00FC4BDB"/>
    <w:rsid w:val="00FC61D9"/>
    <w:rsid w:val="00FD24D9"/>
    <w:rsid w:val="00FD5A3E"/>
    <w:rsid w:val="00FE0092"/>
    <w:rsid w:val="00FE05C0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616C1B"/>
  <w15:chartTrackingRefBased/>
  <w15:docId w15:val="{33553747-4A7D-4FB7-A5B4-9B91BFD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E2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F4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96E"/>
    <w:pPr>
      <w:tabs>
        <w:tab w:val="center" w:pos="4320"/>
        <w:tab w:val="right" w:pos="8640"/>
      </w:tabs>
    </w:pPr>
  </w:style>
  <w:style w:type="character" w:styleId="Hyperlink">
    <w:name w:val="Hyperlink"/>
    <w:rsid w:val="003C1872"/>
    <w:rPr>
      <w:color w:val="0000FF"/>
      <w:u w:val="single"/>
    </w:rPr>
  </w:style>
  <w:style w:type="character" w:styleId="FollowedHyperlink">
    <w:name w:val="FollowedHyperlink"/>
    <w:rsid w:val="00B87AA2"/>
    <w:rPr>
      <w:color w:val="800080"/>
      <w:u w:val="single"/>
    </w:rPr>
  </w:style>
  <w:style w:type="character" w:styleId="CommentReference">
    <w:name w:val="annotation reference"/>
    <w:semiHidden/>
    <w:rsid w:val="00F703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3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031A"/>
    <w:rPr>
      <w:b/>
      <w:bCs/>
    </w:rPr>
  </w:style>
  <w:style w:type="paragraph" w:styleId="BalloonText">
    <w:name w:val="Balloon Text"/>
    <w:basedOn w:val="Normal"/>
    <w:semiHidden/>
    <w:rsid w:val="00F70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9042F"/>
    <w:pPr>
      <w:ind w:left="720"/>
      <w:contextualSpacing/>
    </w:pPr>
  </w:style>
  <w:style w:type="character" w:styleId="Strong">
    <w:name w:val="Strong"/>
    <w:uiPriority w:val="22"/>
    <w:qFormat/>
    <w:rsid w:val="00835380"/>
    <w:rPr>
      <w:b/>
      <w:bCs/>
    </w:rPr>
  </w:style>
  <w:style w:type="character" w:customStyle="1" w:styleId="HeaderChar">
    <w:name w:val="Header Char"/>
    <w:link w:val="Header"/>
    <w:rsid w:val="00B94704"/>
    <w:rPr>
      <w:sz w:val="24"/>
      <w:szCs w:val="24"/>
    </w:rPr>
  </w:style>
  <w:style w:type="paragraph" w:customStyle="1" w:styleId="Default">
    <w:name w:val="Default"/>
    <w:link w:val="DefaultChar"/>
    <w:rsid w:val="008B7F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223B1F"/>
    <w:rPr>
      <w:rFonts w:ascii="Arial" w:hAnsi="Arial" w:cs="Arial"/>
      <w:color w:val="000000"/>
      <w:sz w:val="24"/>
      <w:szCs w:val="24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4448DC"/>
  </w:style>
  <w:style w:type="paragraph" w:styleId="Revision">
    <w:name w:val="Revision"/>
    <w:hidden/>
    <w:uiPriority w:val="99"/>
    <w:semiHidden/>
    <w:rsid w:val="00035143"/>
    <w:rPr>
      <w:sz w:val="24"/>
      <w:szCs w:val="24"/>
    </w:rPr>
  </w:style>
  <w:style w:type="table" w:styleId="TableGrid">
    <w:name w:val="Table Grid"/>
    <w:basedOn w:val="TableNormal"/>
    <w:rsid w:val="00C1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whuggins</dc:creator>
  <cp:keywords/>
  <dc:description/>
  <cp:lastModifiedBy>Waterfield, Justin</cp:lastModifiedBy>
  <cp:revision>2</cp:revision>
  <cp:lastPrinted>2021-05-18T21:11:00Z</cp:lastPrinted>
  <dcterms:created xsi:type="dcterms:W3CDTF">2021-06-04T20:30:00Z</dcterms:created>
  <dcterms:modified xsi:type="dcterms:W3CDTF">2021-06-04T20:30:00Z</dcterms:modified>
</cp:coreProperties>
</file>