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40B8" w14:textId="77777777" w:rsidR="003F496E" w:rsidRPr="009B2A26" w:rsidRDefault="003F496E" w:rsidP="00C155D7">
      <w:pPr>
        <w:ind w:left="-720" w:right="-432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4"/>
        <w:gridCol w:w="7056"/>
      </w:tblGrid>
      <w:tr w:rsidR="00BA3E27" w:rsidRPr="009B2A26" w14:paraId="46255EBA" w14:textId="77777777" w:rsidTr="006E15C0">
        <w:trPr>
          <w:jc w:val="center"/>
        </w:trPr>
        <w:tc>
          <w:tcPr>
            <w:tcW w:w="9360" w:type="dxa"/>
            <w:gridSpan w:val="2"/>
          </w:tcPr>
          <w:p w14:paraId="5B9D8C8A" w14:textId="77777777" w:rsidR="00BA3E27" w:rsidRPr="009B2A26" w:rsidRDefault="0007791C" w:rsidP="00C155D7">
            <w:pPr>
              <w:ind w:left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</w:tc>
      </w:tr>
      <w:tr w:rsidR="00733C41" w:rsidRPr="009B2A26" w14:paraId="165FC946" w14:textId="77777777" w:rsidTr="006E15C0">
        <w:trPr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22AFE22F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Domain</w:t>
            </w:r>
          </w:p>
        </w:tc>
        <w:tc>
          <w:tcPr>
            <w:tcW w:w="7056" w:type="dxa"/>
            <w:shd w:val="clear" w:color="auto" w:fill="auto"/>
          </w:tcPr>
          <w:p w14:paraId="5084EC08" w14:textId="77777777" w:rsidR="00733C41" w:rsidRPr="009B2A26" w:rsidRDefault="00EF127C" w:rsidP="006E15C0">
            <w:pPr>
              <w:rPr>
                <w:rFonts w:ascii="Arial" w:hAnsi="Arial" w:cs="Arial"/>
                <w:sz w:val="22"/>
                <w:szCs w:val="22"/>
              </w:rPr>
            </w:pPr>
            <w:r w:rsidRPr="009B2A26">
              <w:rPr>
                <w:rFonts w:ascii="Arial" w:hAnsi="Arial" w:cs="Arial"/>
                <w:sz w:val="22"/>
                <w:szCs w:val="22"/>
              </w:rPr>
              <w:t xml:space="preserve">Sickle Cell Disease </w:t>
            </w:r>
            <w:r w:rsidR="00A25AFE" w:rsidRPr="009B2A26">
              <w:rPr>
                <w:rFonts w:ascii="Arial" w:hAnsi="Arial" w:cs="Arial"/>
                <w:sz w:val="22"/>
                <w:szCs w:val="22"/>
              </w:rPr>
              <w:t>Curative Therapies</w:t>
            </w:r>
          </w:p>
        </w:tc>
      </w:tr>
      <w:tr w:rsidR="00733C41" w:rsidRPr="009B2A26" w14:paraId="1B6490C1" w14:textId="77777777" w:rsidTr="006E15C0">
        <w:trPr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73B93827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  <w:tc>
          <w:tcPr>
            <w:tcW w:w="7056" w:type="dxa"/>
            <w:shd w:val="clear" w:color="auto" w:fill="auto"/>
          </w:tcPr>
          <w:p w14:paraId="23AC1313" w14:textId="77777777" w:rsidR="00733C41" w:rsidRPr="009B2A26" w:rsidRDefault="00A25AFE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2A26">
              <w:rPr>
                <w:rFonts w:ascii="Arial" w:hAnsi="Arial" w:cs="Arial"/>
                <w:sz w:val="22"/>
                <w:szCs w:val="22"/>
              </w:rPr>
              <w:t xml:space="preserve">Determination of Liver Fibrosis by </w:t>
            </w:r>
            <w:r w:rsidR="00F03940">
              <w:rPr>
                <w:rFonts w:ascii="Arial" w:hAnsi="Arial" w:cs="Arial"/>
                <w:sz w:val="22"/>
                <w:szCs w:val="22"/>
              </w:rPr>
              <w:t xml:space="preserve">Magnetic </w:t>
            </w:r>
            <w:r w:rsidR="00F03940" w:rsidRPr="00F03940">
              <w:rPr>
                <w:rFonts w:ascii="Arial" w:hAnsi="Arial" w:cs="Arial"/>
                <w:sz w:val="22"/>
                <w:szCs w:val="22"/>
              </w:rPr>
              <w:t>Resonance Elastography (MRE)</w:t>
            </w:r>
          </w:p>
        </w:tc>
      </w:tr>
      <w:tr w:rsidR="00733C41" w:rsidRPr="009B2A26" w14:paraId="55E0DF05" w14:textId="77777777" w:rsidTr="006E15C0">
        <w:trPr>
          <w:jc w:val="center"/>
        </w:trPr>
        <w:tc>
          <w:tcPr>
            <w:tcW w:w="2304" w:type="dxa"/>
            <w:shd w:val="clear" w:color="auto" w:fill="auto"/>
          </w:tcPr>
          <w:p w14:paraId="7C11EF36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</w:p>
        </w:tc>
        <w:tc>
          <w:tcPr>
            <w:tcW w:w="7056" w:type="dxa"/>
            <w:shd w:val="clear" w:color="auto" w:fill="auto"/>
          </w:tcPr>
          <w:p w14:paraId="5712E62C" w14:textId="77777777" w:rsidR="003B7B2B" w:rsidRPr="009B2A26" w:rsidRDefault="003B7B2B" w:rsidP="006E15C0">
            <w:pPr>
              <w:rPr>
                <w:rFonts w:ascii="Arial" w:hAnsi="Arial" w:cs="Arial"/>
                <w:sz w:val="22"/>
                <w:szCs w:val="22"/>
              </w:rPr>
            </w:pPr>
            <w:r w:rsidRPr="009B2A26">
              <w:rPr>
                <w:rFonts w:ascii="Arial" w:hAnsi="Arial" w:cs="Arial"/>
                <w:sz w:val="22"/>
                <w:szCs w:val="22"/>
              </w:rPr>
              <w:t>Fibrosis staging defines the degree of liver scarring and indicates how far disease has progressed. Liver fibrosis is a wound healing response typically resulting from chronic injury</w:t>
            </w:r>
            <w:r w:rsidRPr="009623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2342">
              <w:rPr>
                <w:rFonts w:ascii="Arial" w:hAnsi="Arial" w:cs="Arial"/>
                <w:sz w:val="22"/>
                <w:szCs w:val="22"/>
              </w:rPr>
              <w:t>in which the</w:t>
            </w:r>
            <w:r w:rsidRPr="00962342">
              <w:rPr>
                <w:rFonts w:ascii="Arial" w:hAnsi="Arial" w:cs="Arial"/>
                <w:sz w:val="22"/>
                <w:szCs w:val="22"/>
              </w:rPr>
              <w:t xml:space="preserve"> connective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 tissue matrix is overproduced</w:t>
            </w:r>
            <w:r w:rsidR="00962342">
              <w:rPr>
                <w:rFonts w:ascii="Arial" w:hAnsi="Arial" w:cs="Arial"/>
                <w:sz w:val="22"/>
                <w:szCs w:val="22"/>
              </w:rPr>
              <w:t>,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 inefficiently degraded</w:t>
            </w:r>
            <w:r w:rsidR="00962342">
              <w:rPr>
                <w:rFonts w:ascii="Arial" w:hAnsi="Arial" w:cs="Arial"/>
                <w:sz w:val="22"/>
                <w:szCs w:val="22"/>
              </w:rPr>
              <w:t>,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 or both. </w:t>
            </w:r>
            <w:r w:rsidR="00FC52F5">
              <w:rPr>
                <w:rFonts w:ascii="Arial" w:hAnsi="Arial" w:cs="Arial"/>
                <w:sz w:val="22"/>
                <w:szCs w:val="22"/>
              </w:rPr>
              <w:t>A</w:t>
            </w:r>
            <w:r w:rsidRPr="009B2A26">
              <w:rPr>
                <w:rFonts w:ascii="Arial" w:hAnsi="Arial" w:cs="Arial"/>
                <w:sz w:val="22"/>
                <w:szCs w:val="22"/>
              </w:rPr>
              <w:t>dvanced liver fibrosis exists may lead to the adverse clinical consequences of portal hypertension.</w:t>
            </w:r>
          </w:p>
          <w:p w14:paraId="0B15140F" w14:textId="77777777" w:rsidR="003B7B2B" w:rsidRPr="009B2A26" w:rsidRDefault="003B7B2B" w:rsidP="006E15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F3068" w14:textId="77777777" w:rsidR="00733C41" w:rsidRPr="009B2A26" w:rsidRDefault="003B7B2B" w:rsidP="006E15C0">
            <w:pPr>
              <w:rPr>
                <w:rFonts w:ascii="Arial" w:hAnsi="Arial" w:cs="Arial"/>
                <w:sz w:val="22"/>
                <w:szCs w:val="22"/>
              </w:rPr>
            </w:pPr>
            <w:r w:rsidRPr="009B2A26">
              <w:rPr>
                <w:rFonts w:ascii="Arial" w:hAnsi="Arial" w:cs="Arial"/>
                <w:sz w:val="22"/>
                <w:szCs w:val="22"/>
              </w:rPr>
              <w:t>There is a high frequency of liver disease in sickle cell disease (SCD) patients who are candidates for curative therapies. Mechanisms of liver injury in SCD include iron overload, vaso-occlusive crises, biliary injury, immune injury, and viral hepatitis (Berry et al., 2007</w:t>
            </w:r>
            <w:r w:rsidR="00F35702">
              <w:rPr>
                <w:rFonts w:ascii="Arial" w:hAnsi="Arial" w:cs="Arial"/>
                <w:sz w:val="22"/>
                <w:szCs w:val="22"/>
              </w:rPr>
              <w:t>;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 Feld et al., 2015</w:t>
            </w:r>
            <w:r w:rsidR="00F35702">
              <w:rPr>
                <w:rFonts w:ascii="Arial" w:hAnsi="Arial" w:cs="Arial"/>
                <w:sz w:val="22"/>
                <w:szCs w:val="22"/>
              </w:rPr>
              <w:t>;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 Jitraruch et al, 2017</w:t>
            </w:r>
            <w:r w:rsidR="00F35702">
              <w:rPr>
                <w:rFonts w:ascii="Arial" w:hAnsi="Arial" w:cs="Arial"/>
                <w:sz w:val="22"/>
                <w:szCs w:val="22"/>
              </w:rPr>
              <w:t>;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 Theocharidou et al., 2019). Advanced liver fibrosis may increase </w:t>
            </w:r>
            <w:r w:rsidR="00FC52F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B2A26">
              <w:rPr>
                <w:rFonts w:ascii="Arial" w:hAnsi="Arial" w:cs="Arial"/>
                <w:sz w:val="22"/>
                <w:szCs w:val="22"/>
              </w:rPr>
              <w:t xml:space="preserve">risk or preclude </w:t>
            </w:r>
            <w:r w:rsidR="00FC52F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B2A26">
              <w:rPr>
                <w:rFonts w:ascii="Arial" w:hAnsi="Arial" w:cs="Arial"/>
                <w:sz w:val="22"/>
                <w:szCs w:val="22"/>
              </w:rPr>
              <w:t>use of some curative therapies.</w:t>
            </w:r>
          </w:p>
        </w:tc>
      </w:tr>
    </w:tbl>
    <w:p w14:paraId="2ED8A978" w14:textId="77777777" w:rsidR="003F496E" w:rsidRPr="009B2A26" w:rsidRDefault="003F496E" w:rsidP="00C155D7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4"/>
        <w:gridCol w:w="7056"/>
      </w:tblGrid>
      <w:tr w:rsidR="003F496E" w:rsidRPr="009B2A26" w14:paraId="5BF05015" w14:textId="77777777" w:rsidTr="006E15C0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3497" w14:textId="77777777" w:rsidR="007F7390" w:rsidRPr="009B2A26" w:rsidRDefault="00376CF0" w:rsidP="00C155D7">
            <w:pPr>
              <w:ind w:left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B2A26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B2A26">
              <w:rPr>
                <w:rFonts w:ascii="Arial" w:hAnsi="Arial" w:cs="Arial"/>
                <w:b/>
                <w:sz w:val="22"/>
                <w:szCs w:val="22"/>
              </w:rPr>
              <w:t>Protocol</w:t>
            </w:r>
          </w:p>
        </w:tc>
      </w:tr>
      <w:tr w:rsidR="00733C41" w:rsidRPr="009B2A26" w14:paraId="4D6F0D89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D8E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Description of Protocol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A7F4" w14:textId="77777777" w:rsidR="00733C41" w:rsidRPr="009B2A26" w:rsidRDefault="00C12066" w:rsidP="00597E6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protocol provides</w:t>
            </w:r>
            <w:r w:rsidR="00EF127C" w:rsidRPr="009B2A26">
              <w:rPr>
                <w:rFonts w:ascii="Arial" w:hAnsi="Arial" w:cs="Arial"/>
                <w:sz w:val="22"/>
                <w:szCs w:val="22"/>
              </w:rPr>
              <w:t xml:space="preserve"> specifications for determin</w:t>
            </w:r>
            <w:r w:rsidR="00FC52F5">
              <w:rPr>
                <w:rFonts w:ascii="Arial" w:hAnsi="Arial" w:cs="Arial"/>
                <w:sz w:val="22"/>
                <w:szCs w:val="22"/>
              </w:rPr>
              <w:t>ing</w:t>
            </w:r>
            <w:r w:rsidR="00EF127C" w:rsidRPr="009B2A26">
              <w:rPr>
                <w:rFonts w:ascii="Arial" w:hAnsi="Arial" w:cs="Arial"/>
                <w:sz w:val="22"/>
                <w:szCs w:val="22"/>
              </w:rPr>
              <w:t xml:space="preserve"> liver fibrosis by magnetic resonance (</w:t>
            </w:r>
            <w:r w:rsidR="00EF127C" w:rsidRPr="00F35702">
              <w:rPr>
                <w:rFonts w:ascii="Arial" w:hAnsi="Arial" w:cs="Arial"/>
                <w:sz w:val="22"/>
                <w:szCs w:val="22"/>
              </w:rPr>
              <w:t>MR</w:t>
            </w:r>
            <w:r w:rsidR="00EF127C" w:rsidRPr="009B2A26">
              <w:rPr>
                <w:rFonts w:ascii="Arial" w:hAnsi="Arial" w:cs="Arial"/>
                <w:sz w:val="22"/>
                <w:szCs w:val="22"/>
              </w:rPr>
              <w:t>) elastography.</w:t>
            </w:r>
            <w:r w:rsidR="00597E63" w:rsidRPr="009B2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DD" w:rsidRPr="009B2A26">
              <w:rPr>
                <w:rFonts w:ascii="Arial" w:hAnsi="Arial" w:cs="Arial"/>
                <w:sz w:val="22"/>
                <w:szCs w:val="22"/>
              </w:rPr>
              <w:t xml:space="preserve">Quantitative measures are </w:t>
            </w:r>
            <w:r w:rsidR="00BA6788" w:rsidRPr="009B2A26">
              <w:rPr>
                <w:rFonts w:ascii="Arial" w:hAnsi="Arial" w:cs="Arial"/>
                <w:sz w:val="22"/>
                <w:szCs w:val="22"/>
              </w:rPr>
              <w:t xml:space="preserve">generated by the imaging software and used </w:t>
            </w:r>
            <w:r w:rsidR="00BA6788" w:rsidRPr="000C7EE4">
              <w:rPr>
                <w:rFonts w:ascii="Arial" w:hAnsi="Arial" w:cs="Arial"/>
                <w:sz w:val="22"/>
                <w:szCs w:val="22"/>
              </w:rPr>
              <w:t>to determine the presence of</w:t>
            </w:r>
            <w:r w:rsidR="00BA6788" w:rsidRPr="009B2A26">
              <w:rPr>
                <w:rFonts w:ascii="Arial" w:hAnsi="Arial" w:cs="Arial"/>
                <w:sz w:val="22"/>
                <w:szCs w:val="22"/>
              </w:rPr>
              <w:t xml:space="preserve"> liver fibrosis.</w:t>
            </w:r>
          </w:p>
        </w:tc>
      </w:tr>
      <w:tr w:rsidR="00EA3017" w:rsidRPr="009B2A26" w14:paraId="2155C815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2F11" w14:textId="77777777" w:rsidR="00EA3017" w:rsidRPr="009B2A26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Protocol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6109" w14:textId="77777777" w:rsidR="004F40E6" w:rsidRPr="009B2A26" w:rsidRDefault="004F40E6" w:rsidP="00F978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Quantification of Liver Fibrosis by Magnetic Resonance Elastography (MRE)</w:t>
            </w:r>
          </w:p>
          <w:p w14:paraId="3CE88982" w14:textId="77777777" w:rsidR="004F40E6" w:rsidRPr="009B2A26" w:rsidRDefault="004F40E6" w:rsidP="00F97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F02801" w14:textId="77777777" w:rsidR="004F40E6" w:rsidRPr="009B2A26" w:rsidRDefault="004F40E6" w:rsidP="00F97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A description of MRE studies for the determination of liver fibrosis can be found in Yin et al. 2007. Briefly,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MR elastography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s performed on a 1.5-T whole-body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scanner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, using a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whole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body</w:t>
            </w:r>
            <w:proofErr w:type="gramEnd"/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coil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Low-amplitude mechanical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waves at 60 Hz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re generated in the abdomen using an acoustic driver on the anterior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body wall. The total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acquisition time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s 40 seconds.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mages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are quantified to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display shear stiffness (MR elastograms) by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propagating shear waves with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784B" w:rsidRPr="009B2A26">
              <w:rPr>
                <w:rFonts w:ascii="Arial" w:hAnsi="Arial" w:cs="Arial"/>
                <w:color w:val="000000"/>
                <w:sz w:val="22"/>
                <w:szCs w:val="22"/>
              </w:rPr>
              <w:t>a local frequency estimation inversion algorithm.</w:t>
            </w:r>
          </w:p>
          <w:p w14:paraId="7B3B77CA" w14:textId="77777777" w:rsidR="008D78DD" w:rsidRPr="009B2A26" w:rsidRDefault="008D78DD" w:rsidP="00F97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6F80E3" w14:textId="77777777" w:rsidR="00035143" w:rsidRPr="009B2A26" w:rsidRDefault="00F9784B" w:rsidP="004F4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The supplementary material </w:t>
            </w:r>
            <w:r w:rsidR="004F40E6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from Yin et al. 2007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provides details of the MR elastography protocol,</w:t>
            </w:r>
            <w:r w:rsidR="004F40E6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processing of elastograms, measurement of steatosis</w:t>
            </w:r>
            <w:r w:rsidR="004F40E6" w:rsidRPr="009B2A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B2A26">
              <w:rPr>
                <w:rFonts w:ascii="Arial" w:hAnsi="Arial" w:cs="Arial"/>
                <w:color w:val="000000"/>
                <w:sz w:val="22"/>
                <w:szCs w:val="22"/>
              </w:rPr>
              <w:t>using MR, and optimization of the driver used in MR elastography.</w:t>
            </w:r>
          </w:p>
          <w:p w14:paraId="57B04BB8" w14:textId="77777777" w:rsidR="009467F2" w:rsidRPr="009B2A26" w:rsidRDefault="009467F2" w:rsidP="009467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C41" w:rsidRPr="009B2A26" w14:paraId="02320ADF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993B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Participant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50D7" w14:textId="77777777" w:rsidR="00733C41" w:rsidRPr="009B2A26" w:rsidRDefault="00F35702" w:rsidP="006E15C0">
            <w:pPr>
              <w:rPr>
                <w:rStyle w:val="DefaultChar"/>
                <w:sz w:val="22"/>
                <w:szCs w:val="22"/>
                <w:highlight w:val="yellow"/>
              </w:rPr>
            </w:pPr>
            <w:r>
              <w:rPr>
                <w:rStyle w:val="DefaultChar"/>
                <w:sz w:val="22"/>
                <w:szCs w:val="22"/>
              </w:rPr>
              <w:t>A</w:t>
            </w:r>
            <w:r w:rsidR="001F5513" w:rsidRPr="009B2A26">
              <w:rPr>
                <w:rStyle w:val="DefaultChar"/>
                <w:sz w:val="22"/>
                <w:szCs w:val="22"/>
              </w:rPr>
              <w:t>ge 18 years or older</w:t>
            </w:r>
          </w:p>
        </w:tc>
      </w:tr>
      <w:tr w:rsidR="00733C41" w:rsidRPr="009B2A26" w14:paraId="66528DE0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BA6B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778F" w14:textId="77777777" w:rsidR="00C869A1" w:rsidRPr="00C629AA" w:rsidRDefault="001F5513" w:rsidP="00C629AA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B2A26">
              <w:rPr>
                <w:rFonts w:ascii="Arial" w:hAnsi="Arial" w:cs="Arial"/>
                <w:color w:val="212121"/>
                <w:sz w:val="22"/>
                <w:szCs w:val="22"/>
              </w:rPr>
              <w:t>Yin, M., Talwalkar, J. A., Glaser, K. J., Manduca, A., Grimm, R. C., Rossman, P. J., Fidler, J. L., &amp; Ehman, R. L. (2007). Assessment of hepatic fibrosis with magnetic resonance elastography. </w:t>
            </w:r>
            <w:r w:rsidRPr="009B2A26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 xml:space="preserve">Clinical </w:t>
            </w:r>
            <w:r w:rsidR="00FC52F5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G</w:t>
            </w:r>
            <w:r w:rsidRPr="009B2A26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 xml:space="preserve">astroenterology and </w:t>
            </w:r>
            <w:r w:rsidR="00FC52F5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H</w:t>
            </w:r>
            <w:r w:rsidRPr="009B2A26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epatology</w:t>
            </w:r>
            <w:r w:rsidRPr="009B2A26">
              <w:rPr>
                <w:rFonts w:ascii="Arial" w:hAnsi="Arial" w:cs="Arial"/>
                <w:color w:val="212121"/>
                <w:sz w:val="22"/>
                <w:szCs w:val="22"/>
              </w:rPr>
              <w:t>, </w:t>
            </w:r>
            <w:r w:rsidRPr="009B2A26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5</w:t>
            </w:r>
            <w:r w:rsidRPr="009B2A26">
              <w:rPr>
                <w:rFonts w:ascii="Arial" w:hAnsi="Arial" w:cs="Arial"/>
                <w:color w:val="212121"/>
                <w:sz w:val="22"/>
                <w:szCs w:val="22"/>
              </w:rPr>
              <w:t>(10), 1207–1213.</w:t>
            </w:r>
            <w:hyperlink w:history="1"/>
          </w:p>
        </w:tc>
      </w:tr>
      <w:tr w:rsidR="00EA3017" w:rsidRPr="009B2A26" w14:paraId="66DA6172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BDFE" w14:textId="77777777" w:rsidR="00EA3017" w:rsidRPr="009B2A26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Language of Source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772A" w14:textId="77777777" w:rsidR="00EA3017" w:rsidRPr="009B2A26" w:rsidRDefault="00992030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2A26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733C41" w:rsidRPr="009B2A26" w14:paraId="0F7D47BE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2E6D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Personnel and Training Required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E789" w14:textId="77777777" w:rsidR="00733C41" w:rsidRPr="009B2A26" w:rsidRDefault="001F5513" w:rsidP="006E15C0">
            <w:pPr>
              <w:contextualSpacing/>
              <w:rPr>
                <w:rStyle w:val="DefaultChar"/>
                <w:sz w:val="22"/>
                <w:szCs w:val="22"/>
              </w:rPr>
            </w:pPr>
            <w:r w:rsidRPr="009B2A26">
              <w:rPr>
                <w:rStyle w:val="DefaultChar"/>
                <w:sz w:val="22"/>
                <w:szCs w:val="22"/>
              </w:rPr>
              <w:t>A trained magnetic resonance imaging (MRI) technician is required to administer the MRI, and MRIs must be interpreted (“read”) by a trained radiologist, cardiologist, or other medical doctor.</w:t>
            </w:r>
          </w:p>
        </w:tc>
      </w:tr>
      <w:tr w:rsidR="00733C41" w:rsidRPr="009B2A26" w14:paraId="25AD3D78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C0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Equipment Needs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FC77" w14:textId="77777777" w:rsidR="00733C41" w:rsidRPr="009B2A26" w:rsidRDefault="001F5513" w:rsidP="006E15C0">
            <w:pPr>
              <w:contextualSpacing/>
              <w:rPr>
                <w:rStyle w:val="DefaultChar"/>
                <w:sz w:val="22"/>
                <w:szCs w:val="22"/>
              </w:rPr>
            </w:pPr>
            <w:r w:rsidRPr="009B2A26">
              <w:rPr>
                <w:rStyle w:val="DefaultChar"/>
                <w:sz w:val="22"/>
                <w:szCs w:val="22"/>
              </w:rPr>
              <w:t>A magnetic resonance imaging (MRI) machine at 1.5 Tesla with multiple-echo, gradient echo sequence for R2*/T2* evaluation.</w:t>
            </w:r>
          </w:p>
        </w:tc>
      </w:tr>
      <w:tr w:rsidR="00EA3017" w:rsidRPr="009B2A26" w14:paraId="5A157971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EF14" w14:textId="77777777" w:rsidR="00EA3017" w:rsidRPr="009B2A26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Protocol Type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7483" w14:textId="77777777" w:rsidR="00736235" w:rsidRPr="009B2A26" w:rsidRDefault="00446EA6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2A26">
              <w:rPr>
                <w:rFonts w:ascii="Arial" w:hAnsi="Arial" w:cs="Arial"/>
                <w:sz w:val="22"/>
                <w:szCs w:val="22"/>
              </w:rPr>
              <w:t>Imaging Assessment</w:t>
            </w:r>
          </w:p>
        </w:tc>
      </w:tr>
      <w:tr w:rsidR="00733C41" w:rsidRPr="009B2A26" w14:paraId="05DC2B25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C933" w14:textId="77777777" w:rsidR="00733C41" w:rsidRPr="009B2A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2A26">
              <w:rPr>
                <w:rFonts w:ascii="Arial" w:hAnsi="Arial" w:cs="Arial"/>
                <w:b/>
                <w:sz w:val="22"/>
                <w:szCs w:val="22"/>
              </w:rPr>
              <w:t>General References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55F6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</w:rPr>
              <w:t xml:space="preserve">Berry, P. A., Cross, T. J., Thein, S. L., Portmann, B. C., Wendon, J. A., Karani, J. B., Heneghan, M. A., &amp; Bomford, A. (2007). Hepatic dysfunction in sickle cell disease: A new system of classification based on global assessment. 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</w:rPr>
              <w:t>Clinical Gastroenterology and Hepatology, 5</w:t>
            </w:r>
            <w:r w:rsidRPr="00F03940">
              <w:rPr>
                <w:rFonts w:ascii="Arial" w:hAnsi="Arial" w:cs="Arial"/>
                <w:sz w:val="22"/>
                <w:szCs w:val="22"/>
              </w:rPr>
              <w:t xml:space="preserve">(12), 1469–1476. </w:t>
            </w:r>
          </w:p>
          <w:p w14:paraId="35558D31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2E166DF0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</w:rPr>
              <w:t xml:space="preserve">Feld, J. J., Kato, G. J., Koh, C., Shields, T., Hildesheim, M., Kleiner, D. E., Taylor, J. G., 6th, Sandler, N. G., Douek, D., Haynes-Williams, V., Nichols, J. S., Hoofnagle, J. H., Jake Liang, T., Gladwin, M. T., &amp; Heller, T. (2015). Liver injury is associated with mortality in sickle cell disease. 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</w:rPr>
              <w:t>Alimentary Pharmacology and Therapeutics, 42</w:t>
            </w:r>
            <w:r w:rsidRPr="00F03940">
              <w:rPr>
                <w:rFonts w:ascii="Arial" w:hAnsi="Arial" w:cs="Arial"/>
                <w:sz w:val="22"/>
                <w:szCs w:val="22"/>
              </w:rPr>
              <w:t xml:space="preserve">(7), 912–921. </w:t>
            </w:r>
          </w:p>
          <w:p w14:paraId="2D846190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4A9F8ED4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</w:rPr>
              <w:t xml:space="preserve">Jitraruch, S., Fitzpatrick, E., Deheragoda, M., Deganello, A., Mieli-Vergani, G., Height, S., Rees, D., Hadzic, N., &amp; Samyn, M. (2017) Autoimmune liver disease in children with sickle cell disease. 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</w:rPr>
              <w:t>Journal of Pediatrics, 189</w:t>
            </w:r>
            <w:r w:rsidRPr="00F03940">
              <w:rPr>
                <w:rFonts w:ascii="Arial" w:hAnsi="Arial" w:cs="Arial"/>
                <w:sz w:val="22"/>
                <w:szCs w:val="22"/>
              </w:rPr>
              <w:t>, 79–85.</w:t>
            </w:r>
          </w:p>
          <w:p w14:paraId="663739B9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6FAE5ED2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Mariappan, Y. K., Glaser, K. J., &amp; Ehman, R. L. (2010). Magnetic resonance elastography: A review.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Clinical Anatomy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,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23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(5), 497–511.</w:t>
            </w:r>
          </w:p>
          <w:p w14:paraId="0F789EB8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216DB936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Muthupillai, R., Lomas, D. J., Rossman, P. J., Greenleaf, J. F., Manduca, A., &amp; Ehman, R. L. (1995). Magnetic resonance elastography by direct visualization of propagating acoustic strain waves.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Science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,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269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(5232), 1854–1857.</w:t>
            </w:r>
          </w:p>
          <w:p w14:paraId="09670138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4FA68873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 xml:space="preserve">Theocharidou, E., &amp; Suddle, A.R., (2019). The liver in sickle cell disease. 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Clinical Liver Disease, 23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 xml:space="preserve">(2), 177–189. </w:t>
            </w:r>
          </w:p>
          <w:p w14:paraId="42CD8C14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6283AF1C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 xml:space="preserve">Trout, A. T., Sheridan, R. M., Serai, S. D., Xanthakos, S. A., Su, W., 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lastRenderedPageBreak/>
              <w:t>Zhang, B., &amp; Wallihan, D. B. (2018). Diagnostic performance of MR elastography for liver fibrosis in children and young adults with a spectrum of liver diseases.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Radiology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,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287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(3), 824–832.</w:t>
            </w:r>
          </w:p>
          <w:p w14:paraId="70E1A8D3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1C1696D3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Venkatesh, S. K., Yin, M., &amp; Ehman, R. L. (2013). Magnetic resonance elastography of liver: Technique, analysis, and clinical applications.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Journal of Magnetic Resonance Imaging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, </w:t>
            </w:r>
            <w:r w:rsidRPr="00F03940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37</w:t>
            </w: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>(3), 544–555.</w:t>
            </w:r>
          </w:p>
          <w:p w14:paraId="29A4CCFC" w14:textId="77777777" w:rsidR="00F03940" w:rsidRPr="00F03940" w:rsidRDefault="00F03940" w:rsidP="00F0394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32589918" w14:textId="77777777" w:rsidR="00F03940" w:rsidRPr="00F03940" w:rsidRDefault="00F03940" w:rsidP="00F03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3940">
              <w:rPr>
                <w:rFonts w:ascii="Arial" w:hAnsi="Arial" w:cs="Arial"/>
                <w:sz w:val="22"/>
                <w:szCs w:val="22"/>
                <w:highlight w:val="white"/>
              </w:rPr>
              <w:t xml:space="preserve">Wang, Q. B., Zhu, H., Liu, H. L., &amp; Zhang, B. (2012). Performance of magnetic resonance elastography and diffusion-weighted imaging for the staging of hepatic </w:t>
            </w:r>
          </w:p>
          <w:p w14:paraId="0BF5F461" w14:textId="77777777" w:rsidR="00F03940" w:rsidRPr="00F03940" w:rsidRDefault="00F03940" w:rsidP="00F03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5ACEBBA" w14:textId="77777777" w:rsidR="00E9572E" w:rsidRPr="00F03940" w:rsidRDefault="00E9572E" w:rsidP="00F03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6FE58F" w14:textId="77777777" w:rsidR="003F496E" w:rsidRDefault="003F496E" w:rsidP="00C155D7">
      <w:pPr>
        <w:contextualSpacing/>
        <w:rPr>
          <w:rFonts w:ascii="Arial" w:hAnsi="Arial" w:cs="Arial"/>
          <w:sz w:val="22"/>
          <w:szCs w:val="22"/>
        </w:rPr>
      </w:pPr>
    </w:p>
    <w:p w14:paraId="61C684DA" w14:textId="77777777" w:rsidR="00FC23F1" w:rsidRDefault="00FC23F1" w:rsidP="00FC23F1">
      <w:pPr>
        <w:ind w:left="216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7E37A3C" w14:textId="77777777" w:rsidR="009E6BB6" w:rsidRPr="009B2A26" w:rsidRDefault="009E6BB6" w:rsidP="00C155D7">
      <w:pPr>
        <w:contextualSpacing/>
        <w:rPr>
          <w:rFonts w:ascii="Arial" w:hAnsi="Arial" w:cs="Arial"/>
          <w:sz w:val="22"/>
          <w:szCs w:val="22"/>
        </w:rPr>
      </w:pPr>
    </w:p>
    <w:sectPr w:rsidR="009E6BB6" w:rsidRPr="009B2A26" w:rsidSect="00C37848">
      <w:headerReference w:type="default" r:id="rId7"/>
      <w:footerReference w:type="default" r:id="rId8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CCD8" w14:textId="77777777" w:rsidR="0000562B" w:rsidRDefault="0000562B">
      <w:r>
        <w:separator/>
      </w:r>
    </w:p>
  </w:endnote>
  <w:endnote w:type="continuationSeparator" w:id="0">
    <w:p w14:paraId="286DB0EA" w14:textId="77777777" w:rsidR="0000562B" w:rsidRDefault="000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1347" w14:textId="77777777" w:rsidR="00953E6F" w:rsidRDefault="00953E6F" w:rsidP="006E61F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PhenX Toolkit Supplemental Information</w:t>
    </w:r>
  </w:p>
  <w:p w14:paraId="015096FD" w14:textId="77777777" w:rsidR="00A93B52" w:rsidRDefault="004768C6" w:rsidP="006E61F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Determination of Liver Fibrosis by </w:t>
    </w:r>
    <w:r w:rsidRPr="00F03940">
      <w:rPr>
        <w:rFonts w:ascii="Arial" w:hAnsi="Arial" w:cs="Arial"/>
        <w:b/>
        <w:bCs/>
        <w:sz w:val="20"/>
        <w:szCs w:val="20"/>
      </w:rPr>
      <w:t>Magnetic Resonance Elastography (MRE)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1DE0" w14:textId="77777777" w:rsidR="0000562B" w:rsidRDefault="0000562B">
      <w:r>
        <w:separator/>
      </w:r>
    </w:p>
  </w:footnote>
  <w:footnote w:type="continuationSeparator" w:id="0">
    <w:p w14:paraId="675DA405" w14:textId="77777777" w:rsidR="0000562B" w:rsidRDefault="0000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8DAE" w14:textId="77777777" w:rsidR="00953E6F" w:rsidRDefault="00953E6F" w:rsidP="006E61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PhenX Toolkit Supplemental Information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14:paraId="54610AA0" w14:textId="77777777" w:rsidR="00733C41" w:rsidRPr="00723E6A" w:rsidRDefault="00733C41" w:rsidP="00733C41">
    <w:pPr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0"/>
        <w:szCs w:val="20"/>
      </w:rPr>
      <w:t xml:space="preserve">Domain: </w:t>
    </w:r>
    <w:r w:rsidR="00723E6A" w:rsidRPr="005E1242">
      <w:rPr>
        <w:rFonts w:ascii="Arial" w:hAnsi="Arial" w:cs="Arial"/>
        <w:b/>
        <w:bCs/>
        <w:sz w:val="20"/>
        <w:szCs w:val="20"/>
      </w:rPr>
      <w:t>Sickle Cell Disease Curative Therapies</w:t>
    </w:r>
  </w:p>
  <w:p w14:paraId="29E181BB" w14:textId="77777777" w:rsidR="00733C41" w:rsidRDefault="00733C41" w:rsidP="001902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Release Date:</w:t>
    </w:r>
    <w:r>
      <w:rPr>
        <w:rFonts w:ascii="Arial" w:hAnsi="Arial" w:cs="Arial"/>
        <w:b/>
        <w:sz w:val="20"/>
        <w:szCs w:val="20"/>
      </w:rPr>
      <w:tab/>
    </w:r>
  </w:p>
  <w:p w14:paraId="4B3AA219" w14:textId="77777777" w:rsidR="00953E6F" w:rsidRPr="006E61F9" w:rsidRDefault="00A25AFE" w:rsidP="006E61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Determination of Liver Fibrosis by </w:t>
    </w:r>
    <w:r w:rsidR="00F03940" w:rsidRPr="00F03940">
      <w:rPr>
        <w:rFonts w:ascii="Arial" w:hAnsi="Arial" w:cs="Arial"/>
        <w:b/>
        <w:bCs/>
        <w:sz w:val="20"/>
        <w:szCs w:val="20"/>
      </w:rPr>
      <w:t>Magnetic Resonance Elastography (MRE)</w:t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</w:p>
  <w:p w14:paraId="236977A5" w14:textId="77777777" w:rsidR="00953E6F" w:rsidRDefault="00953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C2"/>
    <w:multiLevelType w:val="hybridMultilevel"/>
    <w:tmpl w:val="55169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4E1"/>
    <w:multiLevelType w:val="multilevel"/>
    <w:tmpl w:val="560C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14FEC"/>
    <w:multiLevelType w:val="hybridMultilevel"/>
    <w:tmpl w:val="CD7EDC92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12602EE9"/>
    <w:multiLevelType w:val="hybridMultilevel"/>
    <w:tmpl w:val="DAC2DB1E"/>
    <w:lvl w:ilvl="0" w:tplc="9E0E2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80A5B"/>
    <w:multiLevelType w:val="hybridMultilevel"/>
    <w:tmpl w:val="00EA69A6"/>
    <w:lvl w:ilvl="0" w:tplc="614634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0D4B68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B358BA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7FECF4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8B84C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0EA883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E41EEA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FD017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CB96AC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5" w15:restartNumberingAfterBreak="0">
    <w:nsid w:val="2B087D33"/>
    <w:multiLevelType w:val="hybridMultilevel"/>
    <w:tmpl w:val="91CA99F2"/>
    <w:lvl w:ilvl="0" w:tplc="7C7AB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14071"/>
    <w:multiLevelType w:val="hybridMultilevel"/>
    <w:tmpl w:val="EBA2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378A"/>
    <w:multiLevelType w:val="hybridMultilevel"/>
    <w:tmpl w:val="CF84BB74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7C790B8F"/>
    <w:multiLevelType w:val="hybridMultilevel"/>
    <w:tmpl w:val="A4F4B130"/>
    <w:lvl w:ilvl="0" w:tplc="66320596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jc2NDcyNzS3NLRU0lEKTi0uzszPAykwqgUAXqlr3SwAAAA="/>
  </w:docVars>
  <w:rsids>
    <w:rsidRoot w:val="00C20E03"/>
    <w:rsid w:val="0000234E"/>
    <w:rsid w:val="0000371A"/>
    <w:rsid w:val="0000562B"/>
    <w:rsid w:val="00012AE8"/>
    <w:rsid w:val="00022213"/>
    <w:rsid w:val="00022357"/>
    <w:rsid w:val="00027BF8"/>
    <w:rsid w:val="00027F50"/>
    <w:rsid w:val="00034A43"/>
    <w:rsid w:val="00035143"/>
    <w:rsid w:val="00036636"/>
    <w:rsid w:val="00041101"/>
    <w:rsid w:val="000449BC"/>
    <w:rsid w:val="000454A2"/>
    <w:rsid w:val="000521A6"/>
    <w:rsid w:val="00054254"/>
    <w:rsid w:val="00055008"/>
    <w:rsid w:val="00056F07"/>
    <w:rsid w:val="0006320A"/>
    <w:rsid w:val="00073724"/>
    <w:rsid w:val="000753CA"/>
    <w:rsid w:val="000757B2"/>
    <w:rsid w:val="0007791C"/>
    <w:rsid w:val="00086B33"/>
    <w:rsid w:val="000908D3"/>
    <w:rsid w:val="000913FF"/>
    <w:rsid w:val="00091B07"/>
    <w:rsid w:val="000948ED"/>
    <w:rsid w:val="00095B59"/>
    <w:rsid w:val="000A64F2"/>
    <w:rsid w:val="000C4564"/>
    <w:rsid w:val="000C7EE4"/>
    <w:rsid w:val="000D0F67"/>
    <w:rsid w:val="000D37EF"/>
    <w:rsid w:val="000E32B2"/>
    <w:rsid w:val="000F6FE6"/>
    <w:rsid w:val="00106905"/>
    <w:rsid w:val="00117985"/>
    <w:rsid w:val="00120BDC"/>
    <w:rsid w:val="00127C66"/>
    <w:rsid w:val="001362C0"/>
    <w:rsid w:val="00145CDB"/>
    <w:rsid w:val="0015097C"/>
    <w:rsid w:val="00152E56"/>
    <w:rsid w:val="00163231"/>
    <w:rsid w:val="00166E2A"/>
    <w:rsid w:val="00170FFA"/>
    <w:rsid w:val="00171B67"/>
    <w:rsid w:val="00172E1C"/>
    <w:rsid w:val="0017784A"/>
    <w:rsid w:val="00183973"/>
    <w:rsid w:val="0019016A"/>
    <w:rsid w:val="001902F9"/>
    <w:rsid w:val="00196994"/>
    <w:rsid w:val="00196D1F"/>
    <w:rsid w:val="001A1371"/>
    <w:rsid w:val="001A2D35"/>
    <w:rsid w:val="001A419B"/>
    <w:rsid w:val="001B09DA"/>
    <w:rsid w:val="001B0B9D"/>
    <w:rsid w:val="001B0CA5"/>
    <w:rsid w:val="001B73D0"/>
    <w:rsid w:val="001C7AF5"/>
    <w:rsid w:val="001D2DF4"/>
    <w:rsid w:val="001D3952"/>
    <w:rsid w:val="001D6184"/>
    <w:rsid w:val="001E09FF"/>
    <w:rsid w:val="001E36C0"/>
    <w:rsid w:val="001E4759"/>
    <w:rsid w:val="001F5513"/>
    <w:rsid w:val="001F69B9"/>
    <w:rsid w:val="00202C57"/>
    <w:rsid w:val="00214DD1"/>
    <w:rsid w:val="00223B1F"/>
    <w:rsid w:val="00226D08"/>
    <w:rsid w:val="00252180"/>
    <w:rsid w:val="00253013"/>
    <w:rsid w:val="00253655"/>
    <w:rsid w:val="00254644"/>
    <w:rsid w:val="002611D8"/>
    <w:rsid w:val="00262A7E"/>
    <w:rsid w:val="00267FEC"/>
    <w:rsid w:val="002713AC"/>
    <w:rsid w:val="002723F7"/>
    <w:rsid w:val="00273682"/>
    <w:rsid w:val="00275CD2"/>
    <w:rsid w:val="002806C3"/>
    <w:rsid w:val="00280A6F"/>
    <w:rsid w:val="00280FDC"/>
    <w:rsid w:val="00282E2F"/>
    <w:rsid w:val="00283D7C"/>
    <w:rsid w:val="00285B36"/>
    <w:rsid w:val="0029042F"/>
    <w:rsid w:val="00292A73"/>
    <w:rsid w:val="002B2A5B"/>
    <w:rsid w:val="002B2AC4"/>
    <w:rsid w:val="002B592B"/>
    <w:rsid w:val="002C076E"/>
    <w:rsid w:val="002C7EAF"/>
    <w:rsid w:val="002D786B"/>
    <w:rsid w:val="002E0B4A"/>
    <w:rsid w:val="002E6D16"/>
    <w:rsid w:val="0030486B"/>
    <w:rsid w:val="003071EB"/>
    <w:rsid w:val="003113E2"/>
    <w:rsid w:val="0032473F"/>
    <w:rsid w:val="00332DD4"/>
    <w:rsid w:val="003332F5"/>
    <w:rsid w:val="00343BA0"/>
    <w:rsid w:val="00346B1F"/>
    <w:rsid w:val="0034758A"/>
    <w:rsid w:val="003527D9"/>
    <w:rsid w:val="00360B03"/>
    <w:rsid w:val="0036123A"/>
    <w:rsid w:val="0036273F"/>
    <w:rsid w:val="00365DAA"/>
    <w:rsid w:val="00366447"/>
    <w:rsid w:val="0037033A"/>
    <w:rsid w:val="00371848"/>
    <w:rsid w:val="00372919"/>
    <w:rsid w:val="00374F77"/>
    <w:rsid w:val="0037545E"/>
    <w:rsid w:val="00376052"/>
    <w:rsid w:val="00376CF0"/>
    <w:rsid w:val="00380121"/>
    <w:rsid w:val="00385778"/>
    <w:rsid w:val="003876F1"/>
    <w:rsid w:val="00390376"/>
    <w:rsid w:val="00391291"/>
    <w:rsid w:val="0039407C"/>
    <w:rsid w:val="003A193B"/>
    <w:rsid w:val="003A65BD"/>
    <w:rsid w:val="003B7956"/>
    <w:rsid w:val="003B7B2B"/>
    <w:rsid w:val="003C1872"/>
    <w:rsid w:val="003C71A4"/>
    <w:rsid w:val="003C71FE"/>
    <w:rsid w:val="003C7C18"/>
    <w:rsid w:val="003D42CE"/>
    <w:rsid w:val="003D7D49"/>
    <w:rsid w:val="003E28A8"/>
    <w:rsid w:val="003E39A5"/>
    <w:rsid w:val="003E3DEB"/>
    <w:rsid w:val="003E65E5"/>
    <w:rsid w:val="003F2C92"/>
    <w:rsid w:val="003F4091"/>
    <w:rsid w:val="003F42D5"/>
    <w:rsid w:val="003F4866"/>
    <w:rsid w:val="003F496E"/>
    <w:rsid w:val="004028E0"/>
    <w:rsid w:val="00402E79"/>
    <w:rsid w:val="00406CE7"/>
    <w:rsid w:val="00410802"/>
    <w:rsid w:val="0041178E"/>
    <w:rsid w:val="004252BF"/>
    <w:rsid w:val="004376E8"/>
    <w:rsid w:val="004379D7"/>
    <w:rsid w:val="004448DC"/>
    <w:rsid w:val="00446EA6"/>
    <w:rsid w:val="00452D43"/>
    <w:rsid w:val="00461798"/>
    <w:rsid w:val="0046535B"/>
    <w:rsid w:val="00467E6E"/>
    <w:rsid w:val="0047174A"/>
    <w:rsid w:val="00471B3C"/>
    <w:rsid w:val="00471ED4"/>
    <w:rsid w:val="00473109"/>
    <w:rsid w:val="004768C6"/>
    <w:rsid w:val="00483B1D"/>
    <w:rsid w:val="00490CE7"/>
    <w:rsid w:val="00494A0F"/>
    <w:rsid w:val="004970EE"/>
    <w:rsid w:val="004B253E"/>
    <w:rsid w:val="004B2D7C"/>
    <w:rsid w:val="004B31B6"/>
    <w:rsid w:val="004B7246"/>
    <w:rsid w:val="004C1B25"/>
    <w:rsid w:val="004C4128"/>
    <w:rsid w:val="004C4759"/>
    <w:rsid w:val="004C498C"/>
    <w:rsid w:val="004C74EF"/>
    <w:rsid w:val="004D4226"/>
    <w:rsid w:val="004D424D"/>
    <w:rsid w:val="004D4B70"/>
    <w:rsid w:val="004D5B7A"/>
    <w:rsid w:val="004E009F"/>
    <w:rsid w:val="004E15AC"/>
    <w:rsid w:val="004E31B3"/>
    <w:rsid w:val="004E3DE5"/>
    <w:rsid w:val="004E50F3"/>
    <w:rsid w:val="004F375D"/>
    <w:rsid w:val="004F3897"/>
    <w:rsid w:val="004F40E6"/>
    <w:rsid w:val="005043E3"/>
    <w:rsid w:val="00504910"/>
    <w:rsid w:val="00505DA2"/>
    <w:rsid w:val="005116D5"/>
    <w:rsid w:val="005127A0"/>
    <w:rsid w:val="0051386F"/>
    <w:rsid w:val="00516EDC"/>
    <w:rsid w:val="00525119"/>
    <w:rsid w:val="00526E17"/>
    <w:rsid w:val="005329BE"/>
    <w:rsid w:val="005332E6"/>
    <w:rsid w:val="00535BF6"/>
    <w:rsid w:val="00536FFF"/>
    <w:rsid w:val="00540DA0"/>
    <w:rsid w:val="00546F71"/>
    <w:rsid w:val="0054715E"/>
    <w:rsid w:val="00551D0D"/>
    <w:rsid w:val="0055215F"/>
    <w:rsid w:val="0055372A"/>
    <w:rsid w:val="00553CB2"/>
    <w:rsid w:val="00563576"/>
    <w:rsid w:val="005646B4"/>
    <w:rsid w:val="0056792D"/>
    <w:rsid w:val="00570018"/>
    <w:rsid w:val="0057674A"/>
    <w:rsid w:val="00580FD1"/>
    <w:rsid w:val="0058425F"/>
    <w:rsid w:val="005853DF"/>
    <w:rsid w:val="00591DB5"/>
    <w:rsid w:val="005930AD"/>
    <w:rsid w:val="00593614"/>
    <w:rsid w:val="00597E63"/>
    <w:rsid w:val="005A2CB0"/>
    <w:rsid w:val="005A32A6"/>
    <w:rsid w:val="005A387F"/>
    <w:rsid w:val="005A47DD"/>
    <w:rsid w:val="005B7525"/>
    <w:rsid w:val="005C0225"/>
    <w:rsid w:val="005C33FC"/>
    <w:rsid w:val="005D0F28"/>
    <w:rsid w:val="005D42F5"/>
    <w:rsid w:val="005E1242"/>
    <w:rsid w:val="005E3839"/>
    <w:rsid w:val="005F0891"/>
    <w:rsid w:val="005F6081"/>
    <w:rsid w:val="00612017"/>
    <w:rsid w:val="00612C71"/>
    <w:rsid w:val="0061352F"/>
    <w:rsid w:val="006231FE"/>
    <w:rsid w:val="0063063B"/>
    <w:rsid w:val="00632CD9"/>
    <w:rsid w:val="00641502"/>
    <w:rsid w:val="006449C8"/>
    <w:rsid w:val="00655353"/>
    <w:rsid w:val="00681CC3"/>
    <w:rsid w:val="00682081"/>
    <w:rsid w:val="00683C2B"/>
    <w:rsid w:val="006847BB"/>
    <w:rsid w:val="006902DF"/>
    <w:rsid w:val="006921AD"/>
    <w:rsid w:val="00696AC7"/>
    <w:rsid w:val="006A2407"/>
    <w:rsid w:val="006A3903"/>
    <w:rsid w:val="006A7C2D"/>
    <w:rsid w:val="006B0544"/>
    <w:rsid w:val="006B1B8C"/>
    <w:rsid w:val="006C41DD"/>
    <w:rsid w:val="006D058F"/>
    <w:rsid w:val="006D0622"/>
    <w:rsid w:val="006E15C0"/>
    <w:rsid w:val="006E1D3F"/>
    <w:rsid w:val="006E605E"/>
    <w:rsid w:val="006E61F9"/>
    <w:rsid w:val="006F2E33"/>
    <w:rsid w:val="006F4ED9"/>
    <w:rsid w:val="006F77AD"/>
    <w:rsid w:val="00700BE9"/>
    <w:rsid w:val="00702FB1"/>
    <w:rsid w:val="0070516E"/>
    <w:rsid w:val="00716FF6"/>
    <w:rsid w:val="007234C6"/>
    <w:rsid w:val="00723E6A"/>
    <w:rsid w:val="00727338"/>
    <w:rsid w:val="0073089F"/>
    <w:rsid w:val="00733C41"/>
    <w:rsid w:val="0073482F"/>
    <w:rsid w:val="00736235"/>
    <w:rsid w:val="00736D5D"/>
    <w:rsid w:val="00745268"/>
    <w:rsid w:val="007465A6"/>
    <w:rsid w:val="00752C0E"/>
    <w:rsid w:val="007532A7"/>
    <w:rsid w:val="00753A25"/>
    <w:rsid w:val="0075506E"/>
    <w:rsid w:val="00756B1C"/>
    <w:rsid w:val="007615F3"/>
    <w:rsid w:val="007626E8"/>
    <w:rsid w:val="00770D49"/>
    <w:rsid w:val="00783CC5"/>
    <w:rsid w:val="0078620D"/>
    <w:rsid w:val="00790231"/>
    <w:rsid w:val="00791701"/>
    <w:rsid w:val="00793F0B"/>
    <w:rsid w:val="0079426A"/>
    <w:rsid w:val="00797FE3"/>
    <w:rsid w:val="007A41FB"/>
    <w:rsid w:val="007B01FF"/>
    <w:rsid w:val="007B0A2A"/>
    <w:rsid w:val="007B2F3D"/>
    <w:rsid w:val="007B6CDB"/>
    <w:rsid w:val="007C044C"/>
    <w:rsid w:val="007D0454"/>
    <w:rsid w:val="007D3C68"/>
    <w:rsid w:val="007E34DC"/>
    <w:rsid w:val="007F156F"/>
    <w:rsid w:val="007F263E"/>
    <w:rsid w:val="007F3D7E"/>
    <w:rsid w:val="007F7390"/>
    <w:rsid w:val="00801EC3"/>
    <w:rsid w:val="00803777"/>
    <w:rsid w:val="008069B2"/>
    <w:rsid w:val="00812E69"/>
    <w:rsid w:val="0081355F"/>
    <w:rsid w:val="00821DE7"/>
    <w:rsid w:val="00833727"/>
    <w:rsid w:val="008348A5"/>
    <w:rsid w:val="00835380"/>
    <w:rsid w:val="00843A7C"/>
    <w:rsid w:val="00846708"/>
    <w:rsid w:val="00852DA9"/>
    <w:rsid w:val="0085797D"/>
    <w:rsid w:val="00861B93"/>
    <w:rsid w:val="008656BD"/>
    <w:rsid w:val="008729AF"/>
    <w:rsid w:val="0087790C"/>
    <w:rsid w:val="00881323"/>
    <w:rsid w:val="00882A14"/>
    <w:rsid w:val="00884765"/>
    <w:rsid w:val="008B271F"/>
    <w:rsid w:val="008B4EA6"/>
    <w:rsid w:val="008B558B"/>
    <w:rsid w:val="008B5D1B"/>
    <w:rsid w:val="008B7F05"/>
    <w:rsid w:val="008C3F05"/>
    <w:rsid w:val="008C5FC6"/>
    <w:rsid w:val="008D78DD"/>
    <w:rsid w:val="008F1359"/>
    <w:rsid w:val="008F2508"/>
    <w:rsid w:val="00903981"/>
    <w:rsid w:val="009159B1"/>
    <w:rsid w:val="00923397"/>
    <w:rsid w:val="0093276B"/>
    <w:rsid w:val="009331AB"/>
    <w:rsid w:val="0093669A"/>
    <w:rsid w:val="00943E70"/>
    <w:rsid w:val="009467F2"/>
    <w:rsid w:val="00953E6F"/>
    <w:rsid w:val="00962342"/>
    <w:rsid w:val="00972155"/>
    <w:rsid w:val="009724D2"/>
    <w:rsid w:val="00976799"/>
    <w:rsid w:val="009803A2"/>
    <w:rsid w:val="009820AE"/>
    <w:rsid w:val="0098406B"/>
    <w:rsid w:val="009874F7"/>
    <w:rsid w:val="00992030"/>
    <w:rsid w:val="009A147C"/>
    <w:rsid w:val="009A3D9D"/>
    <w:rsid w:val="009A4377"/>
    <w:rsid w:val="009B2A26"/>
    <w:rsid w:val="009C21EF"/>
    <w:rsid w:val="009D0C95"/>
    <w:rsid w:val="009D5615"/>
    <w:rsid w:val="009D6444"/>
    <w:rsid w:val="009E02DF"/>
    <w:rsid w:val="009E0457"/>
    <w:rsid w:val="009E31D9"/>
    <w:rsid w:val="009E55D3"/>
    <w:rsid w:val="009E6BB6"/>
    <w:rsid w:val="009F02DD"/>
    <w:rsid w:val="009F4410"/>
    <w:rsid w:val="00A00242"/>
    <w:rsid w:val="00A060CC"/>
    <w:rsid w:val="00A122E5"/>
    <w:rsid w:val="00A14486"/>
    <w:rsid w:val="00A22664"/>
    <w:rsid w:val="00A25AFE"/>
    <w:rsid w:val="00A2730E"/>
    <w:rsid w:val="00A358B5"/>
    <w:rsid w:val="00A443C9"/>
    <w:rsid w:val="00A47807"/>
    <w:rsid w:val="00A538BD"/>
    <w:rsid w:val="00A53FA4"/>
    <w:rsid w:val="00A56B27"/>
    <w:rsid w:val="00A62B19"/>
    <w:rsid w:val="00A676CF"/>
    <w:rsid w:val="00A72AE4"/>
    <w:rsid w:val="00A76AB9"/>
    <w:rsid w:val="00A80426"/>
    <w:rsid w:val="00A9362C"/>
    <w:rsid w:val="00A93B52"/>
    <w:rsid w:val="00A94001"/>
    <w:rsid w:val="00A97EAC"/>
    <w:rsid w:val="00AB15FA"/>
    <w:rsid w:val="00AB5DE3"/>
    <w:rsid w:val="00AC3AF0"/>
    <w:rsid w:val="00AC505B"/>
    <w:rsid w:val="00AC666E"/>
    <w:rsid w:val="00AD0120"/>
    <w:rsid w:val="00AE56EB"/>
    <w:rsid w:val="00AF4C3D"/>
    <w:rsid w:val="00B03D26"/>
    <w:rsid w:val="00B12118"/>
    <w:rsid w:val="00B133BB"/>
    <w:rsid w:val="00B14698"/>
    <w:rsid w:val="00B175FE"/>
    <w:rsid w:val="00B33BCC"/>
    <w:rsid w:val="00B464AC"/>
    <w:rsid w:val="00B55D3E"/>
    <w:rsid w:val="00B5742E"/>
    <w:rsid w:val="00B6076F"/>
    <w:rsid w:val="00B66779"/>
    <w:rsid w:val="00B67BD3"/>
    <w:rsid w:val="00B7592A"/>
    <w:rsid w:val="00B75966"/>
    <w:rsid w:val="00B83777"/>
    <w:rsid w:val="00B84B0B"/>
    <w:rsid w:val="00B87AA2"/>
    <w:rsid w:val="00B90D56"/>
    <w:rsid w:val="00B94704"/>
    <w:rsid w:val="00B95E0E"/>
    <w:rsid w:val="00BA085F"/>
    <w:rsid w:val="00BA11AC"/>
    <w:rsid w:val="00BA3E27"/>
    <w:rsid w:val="00BA6788"/>
    <w:rsid w:val="00BB2A49"/>
    <w:rsid w:val="00BB563F"/>
    <w:rsid w:val="00BB7023"/>
    <w:rsid w:val="00BC6CD8"/>
    <w:rsid w:val="00BD0169"/>
    <w:rsid w:val="00BD49FE"/>
    <w:rsid w:val="00BD54D9"/>
    <w:rsid w:val="00BF0642"/>
    <w:rsid w:val="00BF0CDB"/>
    <w:rsid w:val="00C0327B"/>
    <w:rsid w:val="00C1199F"/>
    <w:rsid w:val="00C12066"/>
    <w:rsid w:val="00C12996"/>
    <w:rsid w:val="00C155D7"/>
    <w:rsid w:val="00C20E03"/>
    <w:rsid w:val="00C21B78"/>
    <w:rsid w:val="00C22A79"/>
    <w:rsid w:val="00C22DC6"/>
    <w:rsid w:val="00C24E3A"/>
    <w:rsid w:val="00C371D1"/>
    <w:rsid w:val="00C37351"/>
    <w:rsid w:val="00C37848"/>
    <w:rsid w:val="00C41D6A"/>
    <w:rsid w:val="00C45485"/>
    <w:rsid w:val="00C46D10"/>
    <w:rsid w:val="00C47C72"/>
    <w:rsid w:val="00C515ED"/>
    <w:rsid w:val="00C521A3"/>
    <w:rsid w:val="00C52980"/>
    <w:rsid w:val="00C53D46"/>
    <w:rsid w:val="00C629AA"/>
    <w:rsid w:val="00C64BE2"/>
    <w:rsid w:val="00C76583"/>
    <w:rsid w:val="00C861B8"/>
    <w:rsid w:val="00C869A1"/>
    <w:rsid w:val="00C86E48"/>
    <w:rsid w:val="00C92890"/>
    <w:rsid w:val="00C93844"/>
    <w:rsid w:val="00C97D81"/>
    <w:rsid w:val="00CA7346"/>
    <w:rsid w:val="00CB345A"/>
    <w:rsid w:val="00CC0873"/>
    <w:rsid w:val="00CC47BE"/>
    <w:rsid w:val="00CC61AF"/>
    <w:rsid w:val="00CD77D5"/>
    <w:rsid w:val="00CE4EE7"/>
    <w:rsid w:val="00D003DB"/>
    <w:rsid w:val="00D06D76"/>
    <w:rsid w:val="00D11D9B"/>
    <w:rsid w:val="00D53721"/>
    <w:rsid w:val="00D654B5"/>
    <w:rsid w:val="00D70888"/>
    <w:rsid w:val="00D74497"/>
    <w:rsid w:val="00D92D7E"/>
    <w:rsid w:val="00DA3C7C"/>
    <w:rsid w:val="00DB1449"/>
    <w:rsid w:val="00DB5258"/>
    <w:rsid w:val="00DD3B2F"/>
    <w:rsid w:val="00DD414D"/>
    <w:rsid w:val="00DD510B"/>
    <w:rsid w:val="00DD67DF"/>
    <w:rsid w:val="00DE1DF8"/>
    <w:rsid w:val="00DE33F5"/>
    <w:rsid w:val="00DF57F1"/>
    <w:rsid w:val="00DF5D53"/>
    <w:rsid w:val="00DF66EE"/>
    <w:rsid w:val="00E12F02"/>
    <w:rsid w:val="00E131D0"/>
    <w:rsid w:val="00E30A4A"/>
    <w:rsid w:val="00E32F84"/>
    <w:rsid w:val="00E3418F"/>
    <w:rsid w:val="00E34639"/>
    <w:rsid w:val="00E36072"/>
    <w:rsid w:val="00E51FF0"/>
    <w:rsid w:val="00E5309A"/>
    <w:rsid w:val="00E54DCE"/>
    <w:rsid w:val="00E55575"/>
    <w:rsid w:val="00E57C4A"/>
    <w:rsid w:val="00E60B68"/>
    <w:rsid w:val="00E63747"/>
    <w:rsid w:val="00E6696E"/>
    <w:rsid w:val="00E70281"/>
    <w:rsid w:val="00E71DAD"/>
    <w:rsid w:val="00E82F41"/>
    <w:rsid w:val="00E85D39"/>
    <w:rsid w:val="00E87BBD"/>
    <w:rsid w:val="00E90A05"/>
    <w:rsid w:val="00E92B0A"/>
    <w:rsid w:val="00E9572E"/>
    <w:rsid w:val="00E95E14"/>
    <w:rsid w:val="00E96CFC"/>
    <w:rsid w:val="00EA0040"/>
    <w:rsid w:val="00EA0917"/>
    <w:rsid w:val="00EA3017"/>
    <w:rsid w:val="00EA7EBA"/>
    <w:rsid w:val="00EB4B03"/>
    <w:rsid w:val="00EB7C23"/>
    <w:rsid w:val="00EC1356"/>
    <w:rsid w:val="00EC55C3"/>
    <w:rsid w:val="00EC67EF"/>
    <w:rsid w:val="00EC7367"/>
    <w:rsid w:val="00EE05E4"/>
    <w:rsid w:val="00EE15A8"/>
    <w:rsid w:val="00EF127C"/>
    <w:rsid w:val="00EF3807"/>
    <w:rsid w:val="00F00502"/>
    <w:rsid w:val="00F026EF"/>
    <w:rsid w:val="00F03940"/>
    <w:rsid w:val="00F05182"/>
    <w:rsid w:val="00F061B7"/>
    <w:rsid w:val="00F107F5"/>
    <w:rsid w:val="00F128E2"/>
    <w:rsid w:val="00F13337"/>
    <w:rsid w:val="00F13820"/>
    <w:rsid w:val="00F150D3"/>
    <w:rsid w:val="00F17044"/>
    <w:rsid w:val="00F25559"/>
    <w:rsid w:val="00F26931"/>
    <w:rsid w:val="00F27E7E"/>
    <w:rsid w:val="00F3503D"/>
    <w:rsid w:val="00F35702"/>
    <w:rsid w:val="00F37390"/>
    <w:rsid w:val="00F44529"/>
    <w:rsid w:val="00F46A6C"/>
    <w:rsid w:val="00F6197D"/>
    <w:rsid w:val="00F61AEA"/>
    <w:rsid w:val="00F7031A"/>
    <w:rsid w:val="00F7512C"/>
    <w:rsid w:val="00F81C98"/>
    <w:rsid w:val="00F87BCC"/>
    <w:rsid w:val="00F9334E"/>
    <w:rsid w:val="00F9784B"/>
    <w:rsid w:val="00FA1486"/>
    <w:rsid w:val="00FA1DAB"/>
    <w:rsid w:val="00FA1E1C"/>
    <w:rsid w:val="00FA6DBE"/>
    <w:rsid w:val="00FC0AEF"/>
    <w:rsid w:val="00FC23F1"/>
    <w:rsid w:val="00FC4BDB"/>
    <w:rsid w:val="00FC52F5"/>
    <w:rsid w:val="00FC61D9"/>
    <w:rsid w:val="00FD24D9"/>
    <w:rsid w:val="00FD5A3E"/>
    <w:rsid w:val="00FE0092"/>
    <w:rsid w:val="00FE05C0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EE8963"/>
  <w15:chartTrackingRefBased/>
  <w15:docId w15:val="{33553747-4A7D-4FB7-A5B4-9B91BF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E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9042F"/>
    <w:pPr>
      <w:ind w:left="720"/>
      <w:contextualSpacing/>
    </w:pPr>
  </w:style>
  <w:style w:type="character" w:styleId="Strong">
    <w:name w:val="Strong"/>
    <w:uiPriority w:val="22"/>
    <w:qFormat/>
    <w:rsid w:val="00835380"/>
    <w:rPr>
      <w:b/>
      <w:bCs/>
    </w:rPr>
  </w:style>
  <w:style w:type="character" w:customStyle="1" w:styleId="HeaderChar">
    <w:name w:val="Header Char"/>
    <w:link w:val="Header"/>
    <w:rsid w:val="00B94704"/>
    <w:rPr>
      <w:sz w:val="24"/>
      <w:szCs w:val="24"/>
    </w:rPr>
  </w:style>
  <w:style w:type="paragraph" w:customStyle="1" w:styleId="Default">
    <w:name w:val="Default"/>
    <w:link w:val="DefaultChar"/>
    <w:rsid w:val="008B7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223B1F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4448DC"/>
  </w:style>
  <w:style w:type="paragraph" w:styleId="Revision">
    <w:name w:val="Revision"/>
    <w:hidden/>
    <w:uiPriority w:val="99"/>
    <w:semiHidden/>
    <w:rsid w:val="00035143"/>
    <w:rPr>
      <w:sz w:val="24"/>
      <w:szCs w:val="24"/>
    </w:rPr>
  </w:style>
  <w:style w:type="table" w:styleId="TableGrid">
    <w:name w:val="Table Grid"/>
    <w:basedOn w:val="TableNormal"/>
    <w:rsid w:val="00C1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9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01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584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0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whuggins</dc:creator>
  <cp:keywords/>
  <dc:description/>
  <cp:lastModifiedBy>Waterfield, Justin</cp:lastModifiedBy>
  <cp:revision>2</cp:revision>
  <cp:lastPrinted>2021-05-27T17:15:00Z</cp:lastPrinted>
  <dcterms:created xsi:type="dcterms:W3CDTF">2021-06-04T20:22:00Z</dcterms:created>
  <dcterms:modified xsi:type="dcterms:W3CDTF">2021-06-04T20:22:00Z</dcterms:modified>
</cp:coreProperties>
</file>