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612AD" w14:textId="77777777" w:rsidR="00E615BC" w:rsidRDefault="007E44D4">
      <w:pPr>
        <w:spacing w:before="240" w:after="240"/>
      </w:pPr>
      <w:r>
        <w:rPr>
          <w:noProof/>
        </w:rPr>
        <w:drawing>
          <wp:inline distT="0" distB="0" distL="0" distR="0" wp14:anchorId="086612B4" wp14:editId="086612B5">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14:paraId="086612AE" w14:textId="77777777" w:rsidR="00E615BC" w:rsidRDefault="007E44D4">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E615BC" w14:paraId="086612B0" w14:textId="77777777">
        <w:tc>
          <w:tcPr>
            <w:tcW w:w="0" w:type="auto"/>
            <w:vAlign w:val="center"/>
          </w:tcPr>
          <w:p w14:paraId="086612AF" w14:textId="77777777" w:rsidR="00E615BC" w:rsidRDefault="007E44D4">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086612B1" w14:textId="7AC786F0" w:rsidR="00E615BC" w:rsidRPr="007E44D4" w:rsidRDefault="007E44D4">
      <w:pPr>
        <w:spacing w:before="240" w:after="240"/>
        <w:rPr>
          <w:rFonts w:ascii="Trebuchet MS" w:hAnsi="Trebuchet MS"/>
          <w:szCs w:val="24"/>
        </w:rPr>
      </w:pPr>
      <w:r w:rsidRPr="007E44D4">
        <w:rPr>
          <w:rFonts w:ascii="Trebuchet MS" w:hAnsi="Trebuchet MS"/>
          <w:szCs w:val="24"/>
        </w:rPr>
        <w:t>Liquid chromatography – tandem</w:t>
      </w:r>
      <w:r w:rsidRPr="007E44D4">
        <w:rPr>
          <w:rFonts w:ascii="Trebuchet MS" w:hAnsi="Trebuchet MS"/>
          <w:szCs w:val="24"/>
        </w:rPr>
        <w:t xml:space="preserve"> mass spectrometry (LC-MS/MS) is the preferred method to accurately measure cotinine in serum or plasma samples, especially when used to assess secondhand smoke exposure (see source references 1, 2, and 3 for details). The limit of quantitation is 0.02 ng/</w:t>
      </w:r>
      <w:proofErr w:type="spellStart"/>
      <w:r w:rsidRPr="007E44D4">
        <w:rPr>
          <w:rFonts w:ascii="Trebuchet MS" w:hAnsi="Trebuchet MS"/>
          <w:szCs w:val="24"/>
        </w:rPr>
        <w:t>mL.</w:t>
      </w:r>
      <w:proofErr w:type="spellEnd"/>
      <w:r w:rsidRPr="007E44D4">
        <w:rPr>
          <w:rFonts w:ascii="Trebuchet MS" w:hAnsi="Trebuchet MS"/>
          <w:szCs w:val="24"/>
        </w:rPr>
        <w:t xml:space="preserve"> The optimal </w:t>
      </w:r>
      <w:proofErr w:type="spellStart"/>
      <w:r w:rsidRPr="007E44D4">
        <w:rPr>
          <w:rFonts w:ascii="Trebuchet MS" w:hAnsi="Trebuchet MS"/>
          <w:szCs w:val="24"/>
        </w:rPr>
        <w:t>cutpoint</w:t>
      </w:r>
      <w:proofErr w:type="spellEnd"/>
      <w:r w:rsidRPr="007E44D4">
        <w:rPr>
          <w:rFonts w:ascii="Trebuchet MS" w:hAnsi="Trebuchet MS"/>
          <w:szCs w:val="24"/>
        </w:rPr>
        <w:t xml:space="preserve"> for distinguishing people who smoke from those who do not is 3-10 ng/ml (see source reference 4). </w:t>
      </w:r>
    </w:p>
    <w:p w14:paraId="086612B2" w14:textId="77777777" w:rsidR="00E615BC" w:rsidRPr="007E44D4" w:rsidRDefault="007E44D4">
      <w:pPr>
        <w:spacing w:before="240" w:after="240"/>
        <w:rPr>
          <w:rFonts w:ascii="Trebuchet MS" w:hAnsi="Trebuchet MS"/>
          <w:szCs w:val="24"/>
        </w:rPr>
      </w:pPr>
      <w:r w:rsidRPr="007E44D4">
        <w:rPr>
          <w:rFonts w:ascii="Trebuchet MS" w:hAnsi="Trebuchet MS"/>
          <w:szCs w:val="24"/>
        </w:rPr>
        <w:t xml:space="preserve">Note that this range related to background population exposure to secondhand smoke and to some degree metabolic differences. When background secondhand smoke exposure is low, the </w:t>
      </w:r>
      <w:proofErr w:type="spellStart"/>
      <w:r w:rsidRPr="007E44D4">
        <w:rPr>
          <w:rFonts w:ascii="Trebuchet MS" w:hAnsi="Trebuchet MS"/>
          <w:szCs w:val="24"/>
        </w:rPr>
        <w:t>cutpoint</w:t>
      </w:r>
      <w:proofErr w:type="spellEnd"/>
      <w:r w:rsidRPr="007E44D4">
        <w:rPr>
          <w:rFonts w:ascii="Trebuchet MS" w:hAnsi="Trebuchet MS"/>
          <w:szCs w:val="24"/>
        </w:rPr>
        <w:t xml:space="preserve"> is low.</w:t>
      </w:r>
    </w:p>
    <w:p w14:paraId="086612B3" w14:textId="77777777" w:rsidR="00E615BC" w:rsidRDefault="007E44D4">
      <w:pPr>
        <w:spacing w:before="240" w:after="240"/>
        <w:jc w:val="center"/>
        <w:rPr>
          <w:rFonts w:ascii="Trebuchet MS" w:hAnsi="Trebuchet MS"/>
          <w:sz w:val="20"/>
        </w:rPr>
      </w:pPr>
      <w:r>
        <w:rPr>
          <w:rFonts w:ascii="Trebuchet MS" w:hAnsi="Trebuchet MS"/>
          <w:sz w:val="20"/>
        </w:rPr>
        <w:t xml:space="preserve">Protocol source: </w:t>
      </w:r>
      <w:hyperlink r:id="rId8" w:history="1">
        <w:r>
          <w:rPr>
            <w:rStyle w:val="Hyperlink"/>
            <w:rFonts w:ascii="Trebuchet MS" w:hAnsi="Trebuchet MS"/>
            <w:sz w:val="20"/>
          </w:rPr>
          <w:t>https://www.phenxtoolkit.org/protocols/view/91709</w:t>
        </w:r>
      </w:hyperlink>
    </w:p>
    <w:sectPr w:rsidR="00E615BC">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615BC"/>
    <w:rsid w:val="007E44D4"/>
    <w:rsid w:val="00E6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612AD"/>
  <w15:docId w15:val="{060CF3DF-A9E6-4006-908C-726388C8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henxtoolkit.org/protocols/view/91709"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F01B3F3A-5A61-442E-BACE-5E7D5427E556}">
  <ds:schemaRefs>
    <ds:schemaRef ds:uri="http://schemas.microsoft.com/sharepoint/v3/contenttype/forms"/>
  </ds:schemaRefs>
</ds:datastoreItem>
</file>

<file path=customXml/itemProps2.xml><?xml version="1.0" encoding="utf-8"?>
<ds:datastoreItem xmlns:ds="http://schemas.openxmlformats.org/officeDocument/2006/customXml" ds:itemID="{D0D22EF5-419A-431D-95C6-DC7C0EF04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913536-A81E-4272-9E3B-A3B5199A777E}">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Abedini (she/her), Jaleh</cp:lastModifiedBy>
  <cp:revision>2</cp:revision>
  <dcterms:created xsi:type="dcterms:W3CDTF">2024-10-09T19:33:00Z</dcterms:created>
  <dcterms:modified xsi:type="dcterms:W3CDTF">2024-10-11T18:23:00Z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