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B26D" w14:textId="77777777" w:rsidR="00363883" w:rsidRDefault="00000000">
      <w:pPr>
        <w:spacing w:before="240" w:after="240"/>
      </w:pPr>
      <w:r>
        <w:rPr>
          <w:noProof/>
        </w:rPr>
        <w:drawing>
          <wp:inline distT="0" distB="0" distL="0" distR="0" wp14:anchorId="065E64D1" wp14:editId="6E4E6CBB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FCEF2" w14:textId="77777777" w:rsidR="00363883" w:rsidRDefault="00000000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363883" w14:paraId="26BC0D1F" w14:textId="77777777">
        <w:tc>
          <w:tcPr>
            <w:tcW w:w="0" w:type="auto"/>
            <w:vAlign w:val="center"/>
          </w:tcPr>
          <w:p w14:paraId="33E30177" w14:textId="77777777" w:rsidR="00363883" w:rsidRDefault="00000000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17501E67" w14:textId="77777777" w:rsidR="00363883" w:rsidRDefault="00000000">
      <w:pPr>
        <w:spacing w:before="240" w:after="240"/>
        <w:rPr>
          <w:rFonts w:ascii="Trebuchet MS" w:hAnsi="Trebuchet MS"/>
          <w:sz w:val="26"/>
        </w:rPr>
      </w:pPr>
      <w:r>
        <w:rPr>
          <w:rFonts w:ascii="Trebuchet MS" w:hAnsi="Trebuchet MS"/>
          <w:b/>
          <w:sz w:val="26"/>
        </w:rPr>
        <w:t>S32r0 Transfusion Reaction Form</w:t>
      </w:r>
    </w:p>
    <w:p w14:paraId="77AB1B79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Ad Hoc Event ID                         _________________________________</w:t>
      </w:r>
    </w:p>
    <w:p w14:paraId="7A49EACA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Visit Date (</w:t>
      </w:r>
      <w:proofErr w:type="spellStart"/>
      <w:r w:rsidRPr="00EA77C7">
        <w:rPr>
          <w:rFonts w:ascii="Trebuchet MS" w:hAnsi="Trebuchet MS"/>
          <w:szCs w:val="24"/>
        </w:rPr>
        <w:t>yyyy</w:t>
      </w:r>
      <w:proofErr w:type="spellEnd"/>
      <w:r w:rsidRPr="00EA77C7">
        <w:rPr>
          <w:rFonts w:ascii="Trebuchet MS" w:hAnsi="Trebuchet MS"/>
          <w:szCs w:val="24"/>
        </w:rPr>
        <w:t>/mm/dd):           _________________________________</w:t>
      </w:r>
    </w:p>
    <w:p w14:paraId="00C12EB7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Correction:</w:t>
      </w:r>
    </w:p>
    <w:p w14:paraId="0E29C22E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Yes</w:t>
      </w:r>
    </w:p>
    <w:p w14:paraId="730B0BD1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No</w:t>
      </w:r>
    </w:p>
    <w:p w14:paraId="09D1439B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b/>
          <w:szCs w:val="24"/>
        </w:rPr>
        <w:t>Use this form to report transfusion reactions either during treatment or within 15 minutes after completion of treatment.</w:t>
      </w:r>
      <w:r w:rsidRPr="00EA77C7">
        <w:rPr>
          <w:rFonts w:ascii="Trebuchet MS" w:hAnsi="Trebuchet MS"/>
          <w:szCs w:val="24"/>
        </w:rPr>
        <w:t xml:space="preserve"> </w:t>
      </w:r>
    </w:p>
    <w:p w14:paraId="3C1B581E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1. Date of transfusion (</w:t>
      </w:r>
      <w:proofErr w:type="spellStart"/>
      <w:r w:rsidRPr="00EA77C7">
        <w:rPr>
          <w:rFonts w:ascii="Trebuchet MS" w:hAnsi="Trebuchet MS"/>
          <w:szCs w:val="24"/>
        </w:rPr>
        <w:t>yyyy</w:t>
      </w:r>
      <w:proofErr w:type="spellEnd"/>
      <w:r w:rsidRPr="00EA77C7">
        <w:rPr>
          <w:rFonts w:ascii="Trebuchet MS" w:hAnsi="Trebuchet MS"/>
          <w:szCs w:val="24"/>
        </w:rPr>
        <w:t xml:space="preserve">/mm/dd): _______________________________ </w:t>
      </w:r>
    </w:p>
    <w:p w14:paraId="00104354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2. Type of transfusion:</w:t>
      </w:r>
    </w:p>
    <w:p w14:paraId="0AF3AB7C" w14:textId="1F484DDD" w:rsidR="00363883" w:rsidRPr="00EA77C7" w:rsidRDefault="058CB19B" w:rsidP="32000391">
      <w:pPr>
        <w:spacing w:before="240" w:after="240"/>
        <w:rPr>
          <w:rFonts w:ascii="Trebuchet MS" w:hAnsi="Trebuchet MS"/>
        </w:rPr>
      </w:pPr>
      <w:r w:rsidRPr="32000391">
        <w:rPr>
          <w:rFonts w:ascii="Trebuchet MS" w:hAnsi="Trebuchet MS"/>
        </w:rPr>
        <w:t xml:space="preserve"> </w:t>
      </w:r>
      <w:r w:rsidR="008B27EB">
        <w:rPr>
          <w:rFonts w:ascii="Trebuchet MS" w:hAnsi="Trebuchet MS"/>
        </w:rPr>
        <w:t xml:space="preserve">    </w:t>
      </w:r>
      <w:r w:rsidRPr="32000391">
        <w:rPr>
          <w:rFonts w:ascii="Trebuchet MS" w:hAnsi="Trebuchet MS"/>
        </w:rPr>
        <w:t xml:space="preserve">   </w:t>
      </w:r>
      <w:proofErr w:type="gramStart"/>
      <w:r w:rsidR="00000000" w:rsidRPr="32000391">
        <w:rPr>
          <w:rFonts w:ascii="Trebuchet MS" w:hAnsi="Trebuchet MS"/>
        </w:rPr>
        <w:t>[ ]</w:t>
      </w:r>
      <w:proofErr w:type="gramEnd"/>
      <w:r w:rsidR="00000000" w:rsidRPr="32000391">
        <w:rPr>
          <w:rFonts w:ascii="Trebuchet MS" w:hAnsi="Trebuchet MS"/>
        </w:rPr>
        <w:t xml:space="preserve"> Simple</w:t>
      </w:r>
    </w:p>
    <w:p w14:paraId="41066FD7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Modified exchange</w:t>
      </w:r>
    </w:p>
    <w:p w14:paraId="2EFD70A7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</w:t>
      </w:r>
      <w:proofErr w:type="spellStart"/>
      <w:r w:rsidRPr="00EA77C7">
        <w:rPr>
          <w:rFonts w:ascii="Trebuchet MS" w:hAnsi="Trebuchet MS"/>
          <w:szCs w:val="24"/>
        </w:rPr>
        <w:t>Erythrocytapheresis</w:t>
      </w:r>
      <w:proofErr w:type="spellEnd"/>
      <w:r w:rsidRPr="00EA77C7">
        <w:rPr>
          <w:rFonts w:ascii="Trebuchet MS" w:hAnsi="Trebuchet MS"/>
          <w:szCs w:val="24"/>
        </w:rPr>
        <w:t xml:space="preserve"> </w:t>
      </w:r>
    </w:p>
    <w:p w14:paraId="4BD78D5C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3. Type of reaction:</w:t>
      </w:r>
    </w:p>
    <w:p w14:paraId="2756E255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Febrile non-hemolytic</w:t>
      </w:r>
    </w:p>
    <w:p w14:paraId="4B359D89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Allergic or anaphylactoid</w:t>
      </w:r>
    </w:p>
    <w:p w14:paraId="62E9759F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Hemolytic transfusion reaction (HTR) </w:t>
      </w:r>
    </w:p>
    <w:p w14:paraId="31524156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4. Associated complications:</w:t>
      </w:r>
    </w:p>
    <w:p w14:paraId="3BA13B49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Hypertension and circulatory overload</w:t>
      </w:r>
    </w:p>
    <w:p w14:paraId="336C3E74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Vaso-occlusive</w:t>
      </w:r>
    </w:p>
    <w:p w14:paraId="5AA4C74C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        </w:t>
      </w:r>
      <w:proofErr w:type="gramStart"/>
      <w:r w:rsidRPr="00EA77C7">
        <w:rPr>
          <w:rFonts w:ascii="Trebuchet MS" w:hAnsi="Trebuchet MS"/>
          <w:szCs w:val="24"/>
        </w:rPr>
        <w:t>[ ]</w:t>
      </w:r>
      <w:proofErr w:type="gramEnd"/>
      <w:r w:rsidRPr="00EA77C7">
        <w:rPr>
          <w:rFonts w:ascii="Trebuchet MS" w:hAnsi="Trebuchet MS"/>
          <w:szCs w:val="24"/>
        </w:rPr>
        <w:t xml:space="preserve"> Transient ischemic attack</w:t>
      </w:r>
    </w:p>
    <w:p w14:paraId="7E7EA2AB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b/>
          <w:szCs w:val="24"/>
        </w:rPr>
        <w:t xml:space="preserve">A descriptive, narrative report of all transfusion reactions is recommended by the {study name}. Please use the field below to </w:t>
      </w:r>
      <w:proofErr w:type="gramStart"/>
      <w:r w:rsidRPr="00EA77C7">
        <w:rPr>
          <w:rFonts w:ascii="Trebuchet MS" w:hAnsi="Trebuchet MS"/>
          <w:b/>
          <w:szCs w:val="24"/>
        </w:rPr>
        <w:t>upload  your</w:t>
      </w:r>
      <w:proofErr w:type="gramEnd"/>
      <w:r w:rsidRPr="00EA77C7">
        <w:rPr>
          <w:rFonts w:ascii="Trebuchet MS" w:hAnsi="Trebuchet MS"/>
          <w:b/>
          <w:szCs w:val="24"/>
        </w:rPr>
        <w:t xml:space="preserve"> narrative for this transfusion reaction. The narrative must include the Patient ID number and date of the transfusion reaction, followed by a complete description of the occurrence, procedures followed, and outcome.</w:t>
      </w:r>
    </w:p>
    <w:p w14:paraId="5B33882F" w14:textId="77777777" w:rsidR="00363883" w:rsidRPr="00EA77C7" w:rsidRDefault="00000000">
      <w:pPr>
        <w:spacing w:before="240" w:after="240"/>
        <w:rPr>
          <w:rFonts w:ascii="Trebuchet MS" w:hAnsi="Trebuchet MS"/>
          <w:szCs w:val="24"/>
        </w:rPr>
      </w:pPr>
      <w:r w:rsidRPr="00EA77C7">
        <w:rPr>
          <w:rFonts w:ascii="Trebuchet MS" w:hAnsi="Trebuchet MS"/>
          <w:szCs w:val="24"/>
        </w:rPr>
        <w:t>Staff I.D. #:     ______________________________</w:t>
      </w:r>
    </w:p>
    <w:p w14:paraId="62FC5BE6" w14:textId="77777777" w:rsidR="00363883" w:rsidRDefault="00000000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8" w:history="1">
        <w:r>
          <w:rPr>
            <w:rStyle w:val="Hyperlink"/>
            <w:rFonts w:ascii="Trebuchet MS" w:hAnsi="Trebuchet MS"/>
            <w:sz w:val="20"/>
          </w:rPr>
          <w:t>https://www.phenxtoolkit.org/protocols/view/890501</w:t>
        </w:r>
      </w:hyperlink>
    </w:p>
    <w:sectPr w:rsidR="00363883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883"/>
    <w:rsid w:val="00363883"/>
    <w:rsid w:val="008B27EB"/>
    <w:rsid w:val="00EA77C7"/>
    <w:rsid w:val="058CB19B"/>
    <w:rsid w:val="3200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9818A"/>
  <w15:docId w15:val="{DD07C17C-77AB-4E69-837C-950CD3B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enxtoolkit.org/protocols/view/890501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67A73EBB-998A-4AED-8F1D-3FD4AF69D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C55B87-BF6D-401C-844F-D2D3F14CF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3FF04-52F5-4A35-9752-05AD83D1D7AD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 (He/Him), David</cp:lastModifiedBy>
  <cp:revision>4</cp:revision>
  <dcterms:created xsi:type="dcterms:W3CDTF">2024-06-12T15:42:00Z</dcterms:created>
  <dcterms:modified xsi:type="dcterms:W3CDTF">2024-06-17T21:06:00Z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