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26"/>
        <w:gridCol w:w="7764"/>
      </w:tblGrid>
      <w:tr w:rsidR="008A2889" w:rsidRPr="0040391B" w:rsidTr="00CE4D73">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7"/>
                <w:szCs w:val="27"/>
              </w:rPr>
            </w:pPr>
            <w:r w:rsidRPr="0040391B">
              <w:rPr>
                <w:rStyle w:val="Strong"/>
                <w:rFonts w:ascii="Trebuchet MS" w:hAnsi="Trebuchet MS"/>
                <w:sz w:val="27"/>
                <w:szCs w:val="27"/>
              </w:rPr>
              <w:t>Biomarker of exposure to nicotine-containing products - Urine</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91701</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A biospecimen is collected from the respondent to measure cotinine, a marker of either smoking or of environmental tobacco smoke exposure. One of the most common methods is via a urine sample obtained from the respondent. Cotinine in urine is measured by gas chromatography mass spectrometry (GC-MS).</w:t>
            </w:r>
          </w:p>
        </w:tc>
      </w:tr>
      <w:tr w:rsidR="008A2889" w:rsidRPr="0040391B" w:rsidTr="00CE4D73">
        <w:trPr>
          <w:trHeight w:val="330"/>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Caffeine may interfere with the accuracy of the results. During the gas chromatography analysis, this interference can be minimized by ramping up the temperature and eluting the caffeine later than the cotinine.</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CE4D73" w:rsidRPr="0040391B" w:rsidRDefault="00CE4D73" w:rsidP="00CE4D73">
            <w:pPr>
              <w:pStyle w:val="NormalWeb"/>
              <w:shd w:val="clear" w:color="auto" w:fill="FFFFFF"/>
              <w:rPr>
                <w:rFonts w:ascii="Trebuchet MS" w:hAnsi="Trebuchet MS"/>
                <w:color w:val="444444"/>
                <w:sz w:val="21"/>
                <w:szCs w:val="21"/>
              </w:rPr>
            </w:pPr>
            <w:r w:rsidRPr="0040391B">
              <w:rPr>
                <w:rFonts w:ascii="Trebuchet MS" w:hAnsi="Trebuchet MS"/>
                <w:color w:val="444444"/>
                <w:sz w:val="21"/>
                <w:szCs w:val="21"/>
              </w:rPr>
              <w:t>The respondent is asked to urinate in a sterile 90-mL urine specimen container. Children above the age of 10 and adults can self-collect the urine. The specimen should be refrigerated immediately after collection. Aliquot 3mLs into a 4 mL cryovial. Freeze the cryovial at -20°C until analysis. If the samples need to be stored greater than 1 year freeze at -80°C.</w:t>
            </w:r>
          </w:p>
          <w:p w:rsidR="00CE4D73" w:rsidRPr="0040391B" w:rsidRDefault="00CE4D73" w:rsidP="00CE4D73">
            <w:pPr>
              <w:pStyle w:val="NormalWeb"/>
              <w:shd w:val="clear" w:color="auto" w:fill="FFFFFF"/>
              <w:rPr>
                <w:rFonts w:ascii="Trebuchet MS" w:hAnsi="Trebuchet MS"/>
                <w:color w:val="444444"/>
                <w:sz w:val="21"/>
                <w:szCs w:val="21"/>
              </w:rPr>
            </w:pPr>
            <w:r w:rsidRPr="0040391B">
              <w:rPr>
                <w:rFonts w:ascii="Trebuchet MS" w:hAnsi="Trebuchet MS"/>
                <w:color w:val="444444"/>
                <w:sz w:val="21"/>
                <w:szCs w:val="21"/>
              </w:rPr>
              <w:t>Gas chromatography mass spectrometry (GC-MS) is the preferred method to accurately measure cotinine in urine samples. (See source references for details.) The limit of detection is 0.20 ng/mL. A result of 100 ng/mL urinary cotinine or more is indicative of an active smoker.</w:t>
            </w:r>
          </w:p>
          <w:p w:rsidR="008A2889" w:rsidRPr="0040391B" w:rsidRDefault="008A2889">
            <w:pPr>
              <w:rPr>
                <w:rFonts w:ascii="Trebuchet MS" w:hAnsi="Trebuchet MS"/>
                <w:sz w:val="21"/>
                <w:szCs w:val="21"/>
              </w:rPr>
            </w:pP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Urine is easily collected and with the proper laboratory equipment, cotinine can be measured accurately from a sterile urine sample. Urinary cotinine is a frequently measured biomarker and produces more quantifiable results than other metabolites.</w:t>
            </w:r>
          </w:p>
          <w:p w:rsidR="008A2889" w:rsidRPr="0040391B" w:rsidRDefault="008A2889">
            <w:pPr>
              <w:pStyle w:val="NormalWeb"/>
              <w:rPr>
                <w:rFonts w:ascii="Trebuchet MS" w:hAnsi="Trebuchet MS"/>
                <w:sz w:val="21"/>
                <w:szCs w:val="21"/>
              </w:rPr>
            </w:pPr>
            <w:r w:rsidRPr="0040391B">
              <w:rPr>
                <w:rFonts w:ascii="Trebuchet MS" w:hAnsi="Trebuchet MS"/>
                <w:sz w:val="21"/>
                <w:szCs w:val="21"/>
              </w:rPr>
              <w:t>There are other assays (e.g., radioimmunoassay and enzyme-linked immunosorbent assays) used to measure cotinine but gas chromatography mass spectrometry (GC-MS) is preferred.</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Man, C. N., L.-H. Gam, Ismail, S., Lajis, R., Awang, R. 2006. Simple, rapid and sensitive assay method for simultaneous quantification of urinary nicotine and cotinine using gas chromatography-mass spectrometry. J of Chromatography</w:t>
            </w:r>
            <w:r w:rsidRPr="0040391B">
              <w:rPr>
                <w:rFonts w:ascii="Trebuchet MS" w:hAnsi="Trebuchet MS"/>
                <w:i/>
                <w:iCs/>
                <w:sz w:val="21"/>
                <w:szCs w:val="21"/>
              </w:rPr>
              <w:t xml:space="preserve"> B </w:t>
            </w:r>
            <w:r w:rsidRPr="0040391B">
              <w:rPr>
                <w:rFonts w:ascii="Trebuchet MS" w:hAnsi="Trebuchet MS"/>
                <w:sz w:val="21"/>
                <w:szCs w:val="21"/>
              </w:rPr>
              <w:t>844(2): 322-327.</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English</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Ages 3 and up</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Urine samples can be self-collected by children aged 10 or older with adequate instructions. A laboratory technician trained to process and analyze biological specimens is necessary to analyze urine samples.</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Standard urine collection supplies that have been sterilized. Laboratory supplies and instruments are needed to measure cotinine in biological fluids. Biological samples may be shipped using appropriate shipping procedures to laboratories that specialize in these types of analysis.</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1"/>
              <w:gridCol w:w="2920"/>
              <w:gridCol w:w="861"/>
              <w:gridCol w:w="1026"/>
            </w:tblGrid>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Source</w:t>
                  </w:r>
                </w:p>
              </w:tc>
            </w:tr>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Person Urine Cotinine Assay Concentration Level Code</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3061171</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hyperlink r:id="rId6" w:history="1">
                    <w:r w:rsidRPr="0040391B">
                      <w:rPr>
                        <w:rStyle w:val="Hyperlink"/>
                        <w:rFonts w:ascii="Trebuchet MS" w:hAnsi="Trebuchet MS"/>
                        <w:sz w:val="21"/>
                        <w:szCs w:val="21"/>
                      </w:rPr>
                      <w:t>CDE Browser</w:t>
                    </w:r>
                  </w:hyperlink>
                </w:p>
              </w:tc>
            </w:tr>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Resp urine assay smoke exp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62641-6</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hyperlink r:id="rId7" w:history="1">
                    <w:r w:rsidRPr="0040391B">
                      <w:rPr>
                        <w:rStyle w:val="Hyperlink"/>
                        <w:rFonts w:ascii="Trebuchet MS" w:hAnsi="Trebuchet MS"/>
                        <w:sz w:val="21"/>
                        <w:szCs w:val="21"/>
                      </w:rPr>
                      <w:t>LOINC</w:t>
                    </w:r>
                  </w:hyperlink>
                </w:p>
              </w:tc>
            </w:tr>
          </w:tbl>
          <w:p w:rsidR="008A2889" w:rsidRPr="0040391B" w:rsidRDefault="008A2889">
            <w:pPr>
              <w:rPr>
                <w:rFonts w:ascii="Trebuchet MS" w:hAnsi="Trebuchet MS"/>
                <w:sz w:val="21"/>
                <w:szCs w:val="21"/>
              </w:rPr>
            </w:pP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lastRenderedPageBreak/>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 xml:space="preserve">Avila-Tang E, Al-Delaimy WK, Ashley DL, Benowitz N, Bernert JT, Kim S, Samet JM, Hecht SS. (2013). Assessing secondhand smoke using biological markers. Tob Control, 22(3): 164-871. </w:t>
            </w:r>
          </w:p>
          <w:p w:rsidR="008A2889" w:rsidRPr="0040391B" w:rsidRDefault="008A2889">
            <w:pPr>
              <w:pStyle w:val="NormalWeb"/>
              <w:rPr>
                <w:rFonts w:ascii="Trebuchet MS" w:hAnsi="Trebuchet MS"/>
                <w:sz w:val="21"/>
                <w:szCs w:val="21"/>
              </w:rPr>
            </w:pPr>
            <w:r w:rsidRPr="0040391B">
              <w:rPr>
                <w:rFonts w:ascii="Trebuchet MS" w:hAnsi="Trebuchet MS"/>
                <w:sz w:val="21"/>
                <w:szCs w:val="21"/>
              </w:rPr>
              <w:t xml:space="preserve">Benowitz, N.L. (1999). Biomarkers of Environmental Tobacco Smoke Exposure. </w:t>
            </w:r>
            <w:r w:rsidRPr="0040391B">
              <w:rPr>
                <w:rFonts w:ascii="Trebuchet MS" w:hAnsi="Trebuchet MS"/>
                <w:i/>
                <w:iCs/>
                <w:sz w:val="21"/>
                <w:szCs w:val="21"/>
              </w:rPr>
              <w:t>Environ Health Perspect.</w:t>
            </w:r>
            <w:r w:rsidRPr="0040391B">
              <w:rPr>
                <w:rFonts w:ascii="Trebuchet MS" w:hAnsi="Trebuchet MS"/>
                <w:sz w:val="21"/>
                <w:szCs w:val="21"/>
              </w:rPr>
              <w:t xml:space="preserve"> 107(Suppl 2):3 49-355.</w:t>
            </w:r>
          </w:p>
          <w:p w:rsidR="008A2889" w:rsidRPr="0040391B" w:rsidRDefault="008A2889">
            <w:pPr>
              <w:pStyle w:val="NormalWeb"/>
              <w:rPr>
                <w:rFonts w:ascii="Trebuchet MS" w:hAnsi="Trebuchet MS"/>
                <w:sz w:val="21"/>
                <w:szCs w:val="21"/>
              </w:rPr>
            </w:pPr>
            <w:r w:rsidRPr="0040391B">
              <w:rPr>
                <w:rFonts w:ascii="Trebuchet MS" w:hAnsi="Trebuchet MS"/>
                <w:sz w:val="21"/>
                <w:szCs w:val="21"/>
              </w:rPr>
              <w:t xml:space="preserve">Benowitz, N. L. (1996). Cotinine as a biomarker of environmental tobacco smoke exposure. </w:t>
            </w:r>
            <w:r w:rsidRPr="0040391B">
              <w:rPr>
                <w:rFonts w:ascii="Trebuchet MS" w:hAnsi="Trebuchet MS"/>
                <w:i/>
                <w:iCs/>
                <w:sz w:val="21"/>
                <w:szCs w:val="21"/>
              </w:rPr>
              <w:t>Epidemiol Rev</w:t>
            </w:r>
            <w:r w:rsidRPr="0040391B">
              <w:rPr>
                <w:rFonts w:ascii="Trebuchet MS" w:hAnsi="Trebuchet MS"/>
                <w:sz w:val="21"/>
                <w:szCs w:val="21"/>
              </w:rPr>
              <w:t xml:space="preserve">, </w:t>
            </w:r>
            <w:r w:rsidRPr="0040391B">
              <w:rPr>
                <w:rFonts w:ascii="Trebuchet MS" w:hAnsi="Trebuchet MS"/>
                <w:i/>
                <w:iCs/>
                <w:sz w:val="21"/>
                <w:szCs w:val="21"/>
              </w:rPr>
              <w:t>18</w:t>
            </w:r>
            <w:r w:rsidRPr="0040391B">
              <w:rPr>
                <w:rFonts w:ascii="Trebuchet MS" w:hAnsi="Trebuchet MS"/>
                <w:sz w:val="21"/>
                <w:szCs w:val="21"/>
              </w:rPr>
              <w:t>(2), 188-204.</w:t>
            </w:r>
          </w:p>
          <w:p w:rsidR="008A2889" w:rsidRPr="0040391B" w:rsidRDefault="008A2889">
            <w:pPr>
              <w:pStyle w:val="NormalWeb"/>
              <w:rPr>
                <w:rFonts w:ascii="Trebuchet MS" w:hAnsi="Trebuchet MS"/>
                <w:sz w:val="21"/>
                <w:szCs w:val="21"/>
              </w:rPr>
            </w:pPr>
            <w:r w:rsidRPr="0040391B">
              <w:rPr>
                <w:rFonts w:ascii="Trebuchet MS" w:hAnsi="Trebuchet MS"/>
                <w:sz w:val="21"/>
                <w:szCs w:val="21"/>
              </w:rPr>
              <w:t xml:space="preserve">Dhar, P. (2004). Measuring tobacco smoke exposure: quantifying nicotine/cotinine concentration in biological samples by colorimetry, chromatography and immunoassay methods. </w:t>
            </w:r>
            <w:r w:rsidRPr="0040391B">
              <w:rPr>
                <w:rFonts w:ascii="Trebuchet MS" w:hAnsi="Trebuchet MS"/>
                <w:i/>
                <w:iCs/>
                <w:sz w:val="21"/>
                <w:szCs w:val="21"/>
              </w:rPr>
              <w:t>J Pharm Biomed Anal</w:t>
            </w:r>
            <w:r w:rsidRPr="0040391B">
              <w:rPr>
                <w:rFonts w:ascii="Trebuchet MS" w:hAnsi="Trebuchet MS"/>
                <w:sz w:val="21"/>
                <w:szCs w:val="21"/>
              </w:rPr>
              <w:t xml:space="preserve">, </w:t>
            </w:r>
            <w:r w:rsidRPr="0040391B">
              <w:rPr>
                <w:rFonts w:ascii="Trebuchet MS" w:hAnsi="Trebuchet MS"/>
                <w:i/>
                <w:iCs/>
                <w:sz w:val="21"/>
                <w:szCs w:val="21"/>
              </w:rPr>
              <w:t>35</w:t>
            </w:r>
            <w:r w:rsidRPr="0040391B">
              <w:rPr>
                <w:rFonts w:ascii="Trebuchet MS" w:hAnsi="Trebuchet MS"/>
                <w:sz w:val="21"/>
                <w:szCs w:val="21"/>
              </w:rPr>
              <w:t>(2004), 155-168.</w:t>
            </w:r>
          </w:p>
          <w:p w:rsidR="008A2889" w:rsidRPr="0040391B" w:rsidRDefault="008A2889">
            <w:pPr>
              <w:pStyle w:val="NormalWeb"/>
              <w:rPr>
                <w:rFonts w:ascii="Trebuchet MS" w:hAnsi="Trebuchet MS"/>
                <w:sz w:val="21"/>
                <w:szCs w:val="21"/>
              </w:rPr>
            </w:pPr>
            <w:r w:rsidRPr="0040391B">
              <w:rPr>
                <w:rFonts w:ascii="Trebuchet MS" w:hAnsi="Trebuchet MS"/>
                <w:sz w:val="21"/>
                <w:szCs w:val="21"/>
              </w:rPr>
              <w:t xml:space="preserve">Kuo, H.W., Yang, J.S., Chiu, M.C. (2002). Determination of urinary and salivary cotinine using gas and liquid chromatography and enzyme-linked immunosorbent assay. </w:t>
            </w:r>
            <w:r w:rsidRPr="0040391B">
              <w:rPr>
                <w:rFonts w:ascii="Trebuchet MS" w:hAnsi="Trebuchet MS"/>
                <w:i/>
                <w:iCs/>
                <w:sz w:val="21"/>
                <w:szCs w:val="21"/>
              </w:rPr>
              <w:t>J Chromatogr B Analyt Technol Biomed Life Sci.</w:t>
            </w:r>
            <w:r w:rsidRPr="0040391B">
              <w:rPr>
                <w:rFonts w:ascii="Trebuchet MS" w:hAnsi="Trebuchet MS"/>
                <w:sz w:val="21"/>
                <w:szCs w:val="21"/>
              </w:rPr>
              <w:t xml:space="preserve"> 768(2):297-303.</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Bioassay</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None</w:t>
            </w: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2"/>
              <w:gridCol w:w="996"/>
            </w:tblGrid>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Required</w:t>
                  </w:r>
                </w:p>
              </w:tc>
            </w:tr>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Major equipment</w:t>
                  </w:r>
                </w:p>
                <w:p w:rsidR="008A2889" w:rsidRPr="0040391B" w:rsidRDefault="008A2889">
                  <w:pPr>
                    <w:pStyle w:val="NormalWeb"/>
                    <w:rPr>
                      <w:rFonts w:ascii="Trebuchet MS" w:hAnsi="Trebuchet MS"/>
                      <w:color w:val="A6A6A6" w:themeColor="background1" w:themeShade="A6"/>
                      <w:sz w:val="21"/>
                      <w:szCs w:val="21"/>
                    </w:rPr>
                  </w:pPr>
                  <w:r w:rsidRPr="0040391B">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No</w:t>
                  </w:r>
                </w:p>
              </w:tc>
            </w:tr>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Default="008A2889">
                  <w:pPr>
                    <w:rPr>
                      <w:rFonts w:ascii="Trebuchet MS" w:hAnsi="Trebuchet MS"/>
                      <w:sz w:val="21"/>
                      <w:szCs w:val="21"/>
                    </w:rPr>
                  </w:pPr>
                  <w:r w:rsidRPr="0040391B">
                    <w:rPr>
                      <w:rFonts w:ascii="Trebuchet MS" w:hAnsi="Trebuchet MS"/>
                      <w:sz w:val="21"/>
                      <w:szCs w:val="21"/>
                    </w:rPr>
                    <w:t xml:space="preserve">Specialized training </w:t>
                  </w:r>
                </w:p>
                <w:p w:rsidR="0040391B" w:rsidRDefault="0040391B">
                  <w:pPr>
                    <w:rPr>
                      <w:rFonts w:ascii="Trebuchet MS" w:hAnsi="Trebuchet MS"/>
                      <w:sz w:val="21"/>
                      <w:szCs w:val="21"/>
                    </w:rPr>
                  </w:pPr>
                </w:p>
                <w:p w:rsidR="0040391B" w:rsidRPr="0040391B" w:rsidRDefault="0040391B">
                  <w:pPr>
                    <w:rPr>
                      <w:rFonts w:ascii="Trebuchet MS" w:hAnsi="Trebuchet MS"/>
                      <w:sz w:val="21"/>
                      <w:szCs w:val="21"/>
                    </w:rPr>
                  </w:pPr>
                  <w:r>
                    <w:rPr>
                      <w:rFonts w:ascii="Trebuchet MS" w:hAnsi="Trebuchet MS"/>
                      <w:color w:val="888888"/>
                      <w:sz w:val="21"/>
                      <w:szCs w:val="21"/>
                    </w:rPr>
                    <w:t>This measure requires staff training in the protocol methodology and/or in the conduct of the data analysis.</w:t>
                  </w:r>
                  <w:bookmarkStart w:id="0" w:name="_GoBack"/>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Yes</w:t>
                  </w:r>
                </w:p>
              </w:tc>
            </w:tr>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Specialized requirements for biospecimen collection</w:t>
                  </w:r>
                </w:p>
                <w:p w:rsidR="008A2889" w:rsidRPr="0040391B" w:rsidRDefault="008A2889">
                  <w:pPr>
                    <w:pStyle w:val="NormalWeb"/>
                    <w:rPr>
                      <w:rFonts w:ascii="Trebuchet MS" w:hAnsi="Trebuchet MS"/>
                      <w:color w:val="A6A6A6" w:themeColor="background1" w:themeShade="A6"/>
                      <w:sz w:val="21"/>
                      <w:szCs w:val="21"/>
                    </w:rPr>
                  </w:pPr>
                  <w:r w:rsidRPr="0040391B">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No</w:t>
                  </w:r>
                </w:p>
              </w:tc>
            </w:tr>
            <w:tr w:rsidR="008A2889" w:rsidRPr="0040391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Average time of greater than 15 minutes in an unaffected individual</w:t>
                  </w:r>
                </w:p>
                <w:p w:rsidR="008A2889" w:rsidRPr="0040391B" w:rsidRDefault="008A2889">
                  <w:pPr>
                    <w:pStyle w:val="NormalWeb"/>
                    <w:rPr>
                      <w:rFonts w:ascii="Trebuchet MS" w:hAnsi="Trebuchet MS"/>
                      <w:color w:val="A6A6A6" w:themeColor="background1" w:themeShade="A6"/>
                      <w:sz w:val="21"/>
                      <w:szCs w:val="21"/>
                    </w:rPr>
                  </w:pPr>
                  <w:r w:rsidRPr="0040391B">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Fonts w:ascii="Trebuchet MS" w:hAnsi="Trebuchet MS"/>
                      <w:sz w:val="21"/>
                      <w:szCs w:val="21"/>
                    </w:rPr>
                    <w:t>No</w:t>
                  </w:r>
                </w:p>
              </w:tc>
            </w:tr>
          </w:tbl>
          <w:p w:rsidR="008A2889" w:rsidRPr="0040391B" w:rsidRDefault="008A2889">
            <w:pPr>
              <w:rPr>
                <w:rFonts w:ascii="Trebuchet MS" w:hAnsi="Trebuchet MS"/>
                <w:sz w:val="21"/>
                <w:szCs w:val="21"/>
              </w:rPr>
            </w:pPr>
          </w:p>
        </w:tc>
      </w:tr>
      <w:tr w:rsidR="008A2889" w:rsidRPr="0040391B" w:rsidTr="00CE4D73">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rPr>
                <w:rFonts w:ascii="Trebuchet MS" w:hAnsi="Trebuchet MS"/>
                <w:sz w:val="21"/>
                <w:szCs w:val="21"/>
              </w:rPr>
            </w:pPr>
            <w:r w:rsidRPr="0040391B">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8A2889" w:rsidRPr="0040391B" w:rsidRDefault="008A2889">
            <w:pPr>
              <w:pStyle w:val="NormalWeb"/>
              <w:rPr>
                <w:rFonts w:ascii="Trebuchet MS" w:hAnsi="Trebuchet MS"/>
                <w:sz w:val="21"/>
                <w:szCs w:val="21"/>
              </w:rPr>
            </w:pPr>
            <w:r w:rsidRPr="0040391B">
              <w:rPr>
                <w:rFonts w:ascii="Trebuchet MS" w:hAnsi="Trebuchet MS"/>
                <w:sz w:val="21"/>
                <w:szCs w:val="21"/>
              </w:rPr>
              <w:t xml:space="preserve">The </w:t>
            </w:r>
            <w:hyperlink r:id="rId8" w:history="1">
              <w:r w:rsidRPr="0040391B">
                <w:rPr>
                  <w:rStyle w:val="Hyperlink"/>
                  <w:rFonts w:ascii="Trebuchet MS" w:hAnsi="Trebuchet MS"/>
                  <w:sz w:val="21"/>
                  <w:szCs w:val="21"/>
                </w:rPr>
                <w:t>Expert Review Panel #6</w:t>
              </w:r>
            </w:hyperlink>
            <w:r w:rsidRPr="0040391B">
              <w:rPr>
                <w:rFonts w:ascii="Trebuchet MS" w:hAnsi="Trebuchet MS"/>
                <w:sz w:val="21"/>
                <w:szCs w:val="21"/>
              </w:rPr>
              <w:t xml:space="preserve"> (ERP 6) reviewed the measures in the Respiratory domain.</w:t>
            </w:r>
          </w:p>
          <w:p w:rsidR="008A2889" w:rsidRPr="0040391B" w:rsidRDefault="008A2889">
            <w:pPr>
              <w:pStyle w:val="NormalWeb"/>
              <w:rPr>
                <w:rFonts w:ascii="Trebuchet MS" w:hAnsi="Trebuchet MS"/>
                <w:sz w:val="21"/>
                <w:szCs w:val="21"/>
              </w:rPr>
            </w:pPr>
            <w:r w:rsidRPr="0040391B">
              <w:rPr>
                <w:rFonts w:ascii="Trebuchet MS" w:hAnsi="Trebuchet MS"/>
                <w:sz w:val="21"/>
                <w:szCs w:val="21"/>
              </w:rPr>
              <w:t>Guidance from ERP 6 includes:</w:t>
            </w:r>
          </w:p>
          <w:p w:rsidR="008A2889" w:rsidRPr="0040391B" w:rsidRDefault="008A2889">
            <w:pPr>
              <w:numPr>
                <w:ilvl w:val="0"/>
                <w:numId w:val="1"/>
              </w:numPr>
              <w:spacing w:before="100" w:beforeAutospacing="1" w:after="100" w:afterAutospacing="1"/>
              <w:rPr>
                <w:rFonts w:ascii="Trebuchet MS" w:hAnsi="Trebuchet MS"/>
                <w:sz w:val="21"/>
                <w:szCs w:val="21"/>
              </w:rPr>
            </w:pPr>
            <w:r w:rsidRPr="0040391B">
              <w:rPr>
                <w:rFonts w:ascii="Trebuchet MS" w:hAnsi="Trebuchet MS"/>
                <w:sz w:val="21"/>
                <w:szCs w:val="21"/>
              </w:rPr>
              <w:t>Revised descriptions of the measure</w:t>
            </w:r>
          </w:p>
          <w:p w:rsidR="008A2889" w:rsidRPr="0040391B" w:rsidRDefault="008A2889">
            <w:pPr>
              <w:numPr>
                <w:ilvl w:val="0"/>
                <w:numId w:val="1"/>
              </w:numPr>
              <w:spacing w:before="100" w:beforeAutospacing="1" w:after="100" w:afterAutospacing="1"/>
              <w:rPr>
                <w:rFonts w:ascii="Trebuchet MS" w:hAnsi="Trebuchet MS"/>
                <w:sz w:val="21"/>
                <w:szCs w:val="21"/>
              </w:rPr>
            </w:pPr>
            <w:r w:rsidRPr="0040391B">
              <w:rPr>
                <w:rFonts w:ascii="Trebuchet MS" w:hAnsi="Trebuchet MS"/>
                <w:sz w:val="21"/>
                <w:szCs w:val="21"/>
              </w:rPr>
              <w:t>Changed the name of the measure from "Urine Assay for Tobacco Smoke Exposure" to "Biomarker of Exposure to Nicotine-containing Products"</w:t>
            </w:r>
          </w:p>
          <w:p w:rsidR="008A2889" w:rsidRPr="0040391B" w:rsidRDefault="008A2889">
            <w:pPr>
              <w:pStyle w:val="NormalWeb"/>
              <w:rPr>
                <w:rFonts w:ascii="Trebuchet MS" w:hAnsi="Trebuchet MS"/>
                <w:sz w:val="21"/>
                <w:szCs w:val="21"/>
              </w:rPr>
            </w:pPr>
            <w:r w:rsidRPr="0040391B">
              <w:rPr>
                <w:rFonts w:ascii="Trebuchet MS" w:hAnsi="Trebuchet MS"/>
                <w:sz w:val="21"/>
                <w:szCs w:val="21"/>
              </w:rPr>
              <w:lastRenderedPageBreak/>
              <w:t>Previous version can be found in the Toolkit archive (</w:t>
            </w:r>
            <w:hyperlink r:id="rId9" w:history="1">
              <w:r w:rsidRPr="0040391B">
                <w:rPr>
                  <w:rStyle w:val="Hyperlink"/>
                  <w:rFonts w:ascii="Trebuchet MS" w:hAnsi="Trebuchet MS"/>
                  <w:sz w:val="21"/>
                  <w:szCs w:val="21"/>
                </w:rPr>
                <w:t>link</w:t>
              </w:r>
            </w:hyperlink>
            <w:r w:rsidRPr="0040391B">
              <w:rPr>
                <w:rFonts w:ascii="Trebuchet MS" w:hAnsi="Trebuchet MS"/>
                <w:sz w:val="21"/>
                <w:szCs w:val="21"/>
              </w:rPr>
              <w:t xml:space="preserve">) </w:t>
            </w:r>
          </w:p>
        </w:tc>
      </w:tr>
    </w:tbl>
    <w:p w:rsidR="008A2889" w:rsidRPr="0040391B" w:rsidRDefault="008A2889">
      <w:pPr>
        <w:rPr>
          <w:rFonts w:ascii="Trebuchet MS" w:hAnsi="Trebuchet MS"/>
        </w:rPr>
      </w:pPr>
    </w:p>
    <w:sectPr w:rsidR="008A2889" w:rsidRPr="004039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020C16"/>
    <w:multiLevelType w:val="multilevel"/>
    <w:tmpl w:val="C0C8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78E"/>
    <w:rsid w:val="0019378E"/>
    <w:rsid w:val="0040391B"/>
    <w:rsid w:val="008A2889"/>
    <w:rsid w:val="00CE4D73"/>
    <w:rsid w:val="00FC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nx.org/node/118" TargetMode="External"/><Relationship Id="rId3" Type="http://schemas.microsoft.com/office/2007/relationships/stylesWithEffects" Target="stylesWithEffects.xml"/><Relationship Id="rId7" Type="http://schemas.openxmlformats.org/officeDocument/2006/relationships/hyperlink" Target="http://s.details.loinc.org/LOINC/62641-6.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3061171&amp;version=1.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henxtoolkit.org/index.php?pageLink=browse.archive.protocols&amp;id=9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5214</CharactersWithSpaces>
  <SharedDoc>false</SharedDoc>
  <HLinks>
    <vt:vector size="24" baseType="variant">
      <vt:variant>
        <vt:i4>2490451</vt:i4>
      </vt:variant>
      <vt:variant>
        <vt:i4>9</vt:i4>
      </vt:variant>
      <vt:variant>
        <vt:i4>0</vt:i4>
      </vt:variant>
      <vt:variant>
        <vt:i4>5</vt:i4>
      </vt:variant>
      <vt:variant>
        <vt:lpwstr>http://phenxtoolkitdev.rti.org/index.php?pageLink=browse.archive.protocols&amp;id=90000</vt:lpwstr>
      </vt:variant>
      <vt:variant>
        <vt:lpwstr/>
      </vt:variant>
      <vt:variant>
        <vt:i4>5898367</vt:i4>
      </vt:variant>
      <vt:variant>
        <vt:i4>6</vt:i4>
      </vt:variant>
      <vt:variant>
        <vt:i4>0</vt:i4>
      </vt:variant>
      <vt:variant>
        <vt:i4>5</vt:i4>
      </vt:variant>
      <vt:variant>
        <vt:lpwstr>http://phenx.org/node/118</vt:lpwstr>
      </vt:variant>
      <vt:variant>
        <vt:lpwstr/>
      </vt:variant>
      <vt:variant>
        <vt:i4>8323183</vt:i4>
      </vt:variant>
      <vt:variant>
        <vt:i4>3</vt:i4>
      </vt:variant>
      <vt:variant>
        <vt:i4>0</vt:i4>
      </vt:variant>
      <vt:variant>
        <vt:i4>5</vt:i4>
      </vt:variant>
      <vt:variant>
        <vt:lpwstr>http://s.details.loinc.org/LOINC/62641-6.html?sections=Web</vt:lpwstr>
      </vt:variant>
      <vt:variant>
        <vt:lpwstr/>
      </vt:variant>
      <vt:variant>
        <vt:i4>6422651</vt:i4>
      </vt:variant>
      <vt:variant>
        <vt:i4>0</vt:i4>
      </vt:variant>
      <vt:variant>
        <vt:i4>0</vt:i4>
      </vt:variant>
      <vt:variant>
        <vt:i4>5</vt:i4>
      </vt:variant>
      <vt:variant>
        <vt:lpwstr>https://cdebrowser.nci.nih.gov/CDEBrowser/search?elementDetails=9&amp;FirstTimer=0&amp;PageId=ElementDetailsGroup&amp;publicId=3061171&amp;version=1.0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2017-12-06T18:15:00Z</dcterms:created>
  <dcterms:modified xsi:type="dcterms:W3CDTF">2017-12-06T18:15:00Z</dcterms:modified>
</cp:coreProperties>
</file>