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0"/>
        <w:gridCol w:w="7750"/>
      </w:tblGrid>
      <w:tr w:rsidR="005D699E" w:rsidRPr="009D5E58">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7"/>
                <w:szCs w:val="27"/>
              </w:rPr>
            </w:pPr>
            <w:r w:rsidRPr="009D5E58">
              <w:rPr>
                <w:rStyle w:val="Strong"/>
                <w:rFonts w:ascii="Trebuchet MS" w:hAnsi="Trebuchet MS"/>
                <w:sz w:val="27"/>
                <w:szCs w:val="27"/>
              </w:rPr>
              <w:t>Respiratory Rate - Infant Protocol</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Protocol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91401</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Description of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For infants (15 days to 3 years of age), a study staff member listens to breath sounds via a stethoscope lightly placed on the infant's chest for 60 seconds to count the number of complete respiratory cycles (one inspiration and one expiration). Note that because respiratory rate in infants is significantly different when awake vs. when asleep, studies should be consistent in measuring this variable.</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None</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124543" w:rsidRPr="009D5E58" w:rsidRDefault="00124543" w:rsidP="00124543">
            <w:pPr>
              <w:shd w:val="clear" w:color="auto" w:fill="FFFFFF"/>
              <w:spacing w:before="100" w:beforeAutospacing="1" w:after="100" w:afterAutospacing="1"/>
              <w:rPr>
                <w:rFonts w:ascii="Trebuchet MS" w:hAnsi="Trebuchet MS"/>
                <w:sz w:val="21"/>
                <w:szCs w:val="21"/>
              </w:rPr>
            </w:pPr>
            <w:r w:rsidRPr="009D5E58">
              <w:rPr>
                <w:rFonts w:ascii="Trebuchet MS" w:hAnsi="Trebuchet MS"/>
                <w:sz w:val="21"/>
                <w:szCs w:val="21"/>
              </w:rPr>
              <w:t>1) Infants (15 days to 3 years) should be calm, either awake (including quietly seated or quietly playing) or asleep (sleep not</w:t>
            </w:r>
            <w:r w:rsidRPr="009D5E58">
              <w:rPr>
                <w:rFonts w:ascii="Trebuchet MS" w:hAnsi="Trebuchet MS"/>
                <w:b/>
                <w:bCs/>
                <w:sz w:val="21"/>
                <w:szCs w:val="21"/>
              </w:rPr>
              <w:t> </w:t>
            </w:r>
            <w:r w:rsidRPr="009D5E58">
              <w:rPr>
                <w:rFonts w:ascii="Trebuchet MS" w:hAnsi="Trebuchet MS"/>
                <w:sz w:val="21"/>
                <w:szCs w:val="21"/>
              </w:rPr>
              <w:t>associated with any spontaneous movement, including no eye</w:t>
            </w:r>
            <w:r w:rsidRPr="009D5E58">
              <w:rPr>
                <w:rFonts w:ascii="Trebuchet MS" w:hAnsi="Trebuchet MS"/>
                <w:b/>
                <w:bCs/>
                <w:sz w:val="21"/>
                <w:szCs w:val="21"/>
              </w:rPr>
              <w:t> </w:t>
            </w:r>
            <w:r w:rsidRPr="009D5E58">
              <w:rPr>
                <w:rFonts w:ascii="Trebuchet MS" w:hAnsi="Trebuchet MS"/>
                <w:sz w:val="21"/>
                <w:szCs w:val="21"/>
              </w:rPr>
              <w:t>movements or vocalizations). Infants: count breath sounds in a complete respiratory cycle for 60 seconds with a stethoscope gently placed on infant’s chest.</w:t>
            </w:r>
          </w:p>
          <w:p w:rsidR="00124543" w:rsidRPr="009D5E58" w:rsidRDefault="00124543" w:rsidP="00124543">
            <w:pPr>
              <w:shd w:val="clear" w:color="auto" w:fill="FFFFFF"/>
              <w:spacing w:before="100" w:beforeAutospacing="1" w:after="100" w:afterAutospacing="1"/>
              <w:rPr>
                <w:rFonts w:ascii="Trebuchet MS" w:hAnsi="Trebuchet MS"/>
                <w:sz w:val="21"/>
                <w:szCs w:val="21"/>
              </w:rPr>
            </w:pPr>
            <w:r w:rsidRPr="009D5E58">
              <w:rPr>
                <w:rFonts w:ascii="Trebuchet MS" w:hAnsi="Trebuchet MS"/>
                <w:sz w:val="21"/>
                <w:szCs w:val="21"/>
              </w:rPr>
              <w:t>2) Record results.</w:t>
            </w:r>
          </w:p>
          <w:p w:rsidR="00124543" w:rsidRPr="009D5E58" w:rsidRDefault="00124543" w:rsidP="00124543">
            <w:pPr>
              <w:rPr>
                <w:rFonts w:ascii="Trebuchet MS" w:hAnsi="Trebuchet MS"/>
                <w:sz w:val="21"/>
                <w:szCs w:val="21"/>
                <w:lang w:eastAsia="zh-CN"/>
              </w:rPr>
            </w:pPr>
          </w:p>
          <w:p w:rsidR="00124543" w:rsidRPr="009D5E58" w:rsidRDefault="00124543" w:rsidP="00124543">
            <w:pPr>
              <w:rPr>
                <w:rFonts w:ascii="Trebuchet MS" w:hAnsi="Trebuchet MS"/>
                <w:sz w:val="21"/>
                <w:szCs w:val="21"/>
                <w:lang w:eastAsia="zh-CN"/>
              </w:rPr>
            </w:pPr>
            <w:r w:rsidRPr="009D5E58">
              <w:rPr>
                <w:rFonts w:ascii="Trebuchet MS" w:hAnsi="Trebuchet MS"/>
                <w:sz w:val="21"/>
                <w:szCs w:val="21"/>
                <w:lang w:eastAsia="zh-CN"/>
              </w:rPr>
              <w:t>Date of Measurement: ______________________</w:t>
            </w:r>
          </w:p>
          <w:p w:rsidR="00124543" w:rsidRPr="009D5E58" w:rsidRDefault="00124543" w:rsidP="00124543">
            <w:pPr>
              <w:rPr>
                <w:rFonts w:ascii="Trebuchet MS" w:hAnsi="Trebuchet MS"/>
                <w:sz w:val="21"/>
                <w:szCs w:val="21"/>
                <w:lang w:eastAsia="zh-CN"/>
              </w:rPr>
            </w:pPr>
          </w:p>
          <w:p w:rsidR="00124543" w:rsidRPr="009D5E58" w:rsidRDefault="00124543" w:rsidP="00124543">
            <w:pPr>
              <w:rPr>
                <w:rFonts w:ascii="Trebuchet MS" w:hAnsi="Trebuchet MS"/>
                <w:sz w:val="21"/>
                <w:szCs w:val="21"/>
                <w:lang w:eastAsia="zh-CN"/>
              </w:rPr>
            </w:pPr>
            <w:r w:rsidRPr="009D5E58">
              <w:rPr>
                <w:rFonts w:ascii="Trebuchet MS" w:hAnsi="Trebuchet MS"/>
                <w:sz w:val="21"/>
                <w:szCs w:val="21"/>
                <w:lang w:eastAsia="zh-CN"/>
              </w:rPr>
              <w:t>Infant awake:____________(Y/N)</w:t>
            </w:r>
          </w:p>
          <w:p w:rsidR="00124543" w:rsidRPr="009D5E58" w:rsidRDefault="00124543" w:rsidP="00124543">
            <w:pPr>
              <w:rPr>
                <w:rFonts w:ascii="Trebuchet MS" w:hAnsi="Trebuchet MS"/>
                <w:sz w:val="21"/>
                <w:szCs w:val="21"/>
                <w:lang w:eastAsia="zh-CN"/>
              </w:rPr>
            </w:pPr>
          </w:p>
          <w:p w:rsidR="00124543" w:rsidRPr="009D5E58" w:rsidRDefault="00124543" w:rsidP="00124543">
            <w:pPr>
              <w:rPr>
                <w:rFonts w:ascii="Trebuchet MS" w:hAnsi="Trebuchet MS"/>
                <w:sz w:val="21"/>
                <w:szCs w:val="21"/>
                <w:lang w:eastAsia="zh-CN"/>
              </w:rPr>
            </w:pPr>
            <w:r w:rsidRPr="009D5E58">
              <w:rPr>
                <w:rFonts w:ascii="Trebuchet MS" w:hAnsi="Trebuchet MS"/>
                <w:sz w:val="21"/>
                <w:szCs w:val="21"/>
                <w:lang w:eastAsia="zh-CN"/>
              </w:rPr>
              <w:t>Number of respiratory cycles in one minute:_______________</w:t>
            </w:r>
          </w:p>
          <w:p w:rsidR="005D699E" w:rsidRPr="009D5E58" w:rsidRDefault="005D699E">
            <w:pPr>
              <w:rPr>
                <w:rFonts w:ascii="Trebuchet MS" w:hAnsi="Trebuchet MS"/>
                <w:sz w:val="21"/>
                <w:szCs w:val="21"/>
              </w:rPr>
            </w:pP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The infant protocol was used in a study of 618 infants and children (309 healthy, 309 with non-respiratory problems) when awake and calm.</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 xml:space="preserve">Rusconi, F., Castagneto, M., Gagliardi, L., Leo, G., Pellegatta, A., Porta, N., Razon, S., &amp; Braga, M. (1994). Reference values for respiratory rate in the first 3 years of life. </w:t>
            </w:r>
            <w:r w:rsidRPr="009D5E58">
              <w:rPr>
                <w:rStyle w:val="Emphasis"/>
                <w:rFonts w:ascii="Trebuchet MS" w:hAnsi="Trebuchet MS"/>
                <w:sz w:val="21"/>
                <w:szCs w:val="21"/>
              </w:rPr>
              <w:t>Pediatrics, 94,</w:t>
            </w:r>
            <w:r w:rsidRPr="009D5E58">
              <w:rPr>
                <w:rFonts w:ascii="Trebuchet MS" w:hAnsi="Trebuchet MS"/>
                <w:sz w:val="21"/>
                <w:szCs w:val="21"/>
              </w:rPr>
              <w:t xml:space="preserve"> 350-355.</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English</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Infants ages 15 days to 3 years</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Staff trained to count respiratory rates and auscultate breath sounds with a watch</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Watch that can measure time in seconds and a stethoscope</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4"/>
              <w:gridCol w:w="2109"/>
              <w:gridCol w:w="861"/>
              <w:gridCol w:w="1100"/>
            </w:tblGrid>
            <w:tr w:rsidR="005D699E" w:rsidRPr="009D5E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Source</w:t>
                  </w:r>
                </w:p>
              </w:tc>
            </w:tr>
            <w:tr w:rsidR="005D699E" w:rsidRPr="009D5E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Person Respiratory Rate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2970219</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hyperlink r:id="rId5" w:history="1">
                    <w:r w:rsidRPr="009D5E58">
                      <w:rPr>
                        <w:rStyle w:val="Hyperlink"/>
                        <w:rFonts w:ascii="Trebuchet MS" w:hAnsi="Trebuchet MS"/>
                        <w:sz w:val="21"/>
                        <w:szCs w:val="21"/>
                      </w:rPr>
                      <w:t>CDE Browser</w:t>
                    </w:r>
                  </w:hyperlink>
                </w:p>
              </w:tc>
            </w:tr>
            <w:tr w:rsidR="005D699E" w:rsidRPr="009D5E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Resp rate infant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62632-5</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hyperlink r:id="rId6" w:history="1">
                    <w:r w:rsidRPr="009D5E58">
                      <w:rPr>
                        <w:rStyle w:val="Hyperlink"/>
                        <w:rFonts w:ascii="Trebuchet MS" w:hAnsi="Trebuchet MS"/>
                        <w:sz w:val="21"/>
                        <w:szCs w:val="21"/>
                      </w:rPr>
                      <w:t>LOINC</w:t>
                    </w:r>
                  </w:hyperlink>
                </w:p>
              </w:tc>
            </w:tr>
          </w:tbl>
          <w:p w:rsidR="005D699E" w:rsidRPr="009D5E58" w:rsidRDefault="005D699E">
            <w:pPr>
              <w:rPr>
                <w:rFonts w:ascii="Trebuchet MS" w:hAnsi="Trebuchet MS"/>
                <w:sz w:val="21"/>
                <w:szCs w:val="21"/>
              </w:rPr>
            </w:pP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None</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Protocol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Physical Measurement</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None</w:t>
            </w: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lastRenderedPageBreak/>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08"/>
              <w:gridCol w:w="996"/>
            </w:tblGrid>
            <w:tr w:rsidR="005D699E" w:rsidRPr="009D5E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Required</w:t>
                  </w:r>
                </w:p>
              </w:tc>
            </w:tr>
            <w:tr w:rsidR="005D699E" w:rsidRPr="009D5E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Major equipment</w:t>
                  </w:r>
                </w:p>
                <w:p w:rsidR="005D699E" w:rsidRPr="009D5E58" w:rsidRDefault="005D699E">
                  <w:pPr>
                    <w:pStyle w:val="NormalWeb"/>
                    <w:rPr>
                      <w:rFonts w:ascii="Trebuchet MS" w:hAnsi="Trebuchet MS"/>
                      <w:color w:val="A6A6A6" w:themeColor="background1" w:themeShade="A6"/>
                      <w:sz w:val="21"/>
                      <w:szCs w:val="21"/>
                    </w:rPr>
                  </w:pPr>
                  <w:r w:rsidRPr="009D5E58">
                    <w:rPr>
                      <w:rFonts w:ascii="Trebuchet MS" w:hAnsi="Trebuchet MS"/>
                      <w:color w:val="A6A6A6" w:themeColor="background1" w:themeShade="A6"/>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No</w:t>
                  </w:r>
                </w:p>
              </w:tc>
            </w:tr>
            <w:tr w:rsidR="005D699E" w:rsidRPr="009D5E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9E" w:rsidRDefault="005D699E">
                  <w:pPr>
                    <w:pStyle w:val="NormalWeb"/>
                    <w:rPr>
                      <w:rFonts w:ascii="Trebuchet MS" w:hAnsi="Trebuchet MS"/>
                      <w:sz w:val="21"/>
                      <w:szCs w:val="21"/>
                    </w:rPr>
                  </w:pPr>
                  <w:r w:rsidRPr="009D5E58">
                    <w:rPr>
                      <w:rFonts w:ascii="Trebuchet MS" w:hAnsi="Trebuchet MS"/>
                      <w:sz w:val="21"/>
                      <w:szCs w:val="21"/>
                    </w:rPr>
                    <w:t>Specialized training</w:t>
                  </w:r>
                </w:p>
                <w:p w:rsidR="009D5E58" w:rsidRPr="009D5E58" w:rsidRDefault="009D5E58">
                  <w:pPr>
                    <w:pStyle w:val="NormalWeb"/>
                    <w:rPr>
                      <w:rFonts w:ascii="Trebuchet MS" w:hAnsi="Trebuchet MS"/>
                      <w:sz w:val="21"/>
                      <w:szCs w:val="21"/>
                    </w:rPr>
                  </w:pPr>
                  <w:r>
                    <w:rPr>
                      <w:rFonts w:ascii="Trebuchet MS" w:hAnsi="Trebuchet MS"/>
                      <w:color w:val="888888"/>
                      <w:sz w:val="21"/>
                      <w:szCs w:val="21"/>
                    </w:rPr>
                    <w:t>This measure requires staff training in the protocol methodology and/or in the conduct of the data analysis.</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No</w:t>
                  </w:r>
                </w:p>
              </w:tc>
            </w:tr>
            <w:tr w:rsidR="005D699E" w:rsidRPr="009D5E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Specialized requirements for biospecimen collection</w:t>
                  </w:r>
                </w:p>
                <w:p w:rsidR="005D699E" w:rsidRPr="009D5E58" w:rsidRDefault="005D699E">
                  <w:pPr>
                    <w:pStyle w:val="NormalWeb"/>
                    <w:rPr>
                      <w:rFonts w:ascii="Trebuchet MS" w:hAnsi="Trebuchet MS"/>
                      <w:color w:val="A6A6A6" w:themeColor="background1" w:themeShade="A6"/>
                      <w:sz w:val="21"/>
                      <w:szCs w:val="21"/>
                    </w:rPr>
                  </w:pPr>
                  <w:r w:rsidRPr="009D5E58">
                    <w:rPr>
                      <w:rFonts w:ascii="Trebuchet MS" w:hAnsi="Trebuchet MS"/>
                      <w:color w:val="A6A6A6" w:themeColor="background1" w:themeShade="A6"/>
                      <w:sz w:val="21"/>
                      <w:szCs w:val="21"/>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No</w:t>
                  </w:r>
                </w:p>
              </w:tc>
            </w:tr>
            <w:tr w:rsidR="005D699E" w:rsidRPr="009D5E5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Average time of greater than 15 minutes in an unaffected individual</w:t>
                  </w:r>
                </w:p>
                <w:p w:rsidR="005D699E" w:rsidRPr="009D5E58" w:rsidRDefault="005D699E">
                  <w:pPr>
                    <w:pStyle w:val="NormalWeb"/>
                    <w:rPr>
                      <w:rFonts w:ascii="Trebuchet MS" w:hAnsi="Trebuchet MS"/>
                      <w:color w:val="A6A6A6" w:themeColor="background1" w:themeShade="A6"/>
                      <w:sz w:val="21"/>
                      <w:szCs w:val="21"/>
                    </w:rPr>
                  </w:pPr>
                  <w:bookmarkStart w:id="0" w:name="_GoBack"/>
                  <w:r w:rsidRPr="009D5E58">
                    <w:rPr>
                      <w:rFonts w:ascii="Trebuchet MS" w:hAnsi="Trebuchet MS"/>
                      <w:color w:val="A6A6A6" w:themeColor="background1" w:themeShade="A6"/>
                      <w:sz w:val="21"/>
                      <w:szCs w:val="21"/>
                    </w:rPr>
                    <w:t>Average time of greater than 15 minutes in an unaffected individual</w:t>
                  </w:r>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Fonts w:ascii="Trebuchet MS" w:hAnsi="Trebuchet MS"/>
                      <w:sz w:val="21"/>
                      <w:szCs w:val="21"/>
                    </w:rPr>
                    <w:t>No</w:t>
                  </w:r>
                </w:p>
              </w:tc>
            </w:tr>
          </w:tbl>
          <w:p w:rsidR="005D699E" w:rsidRPr="009D5E58" w:rsidRDefault="005D699E">
            <w:pPr>
              <w:rPr>
                <w:rFonts w:ascii="Trebuchet MS" w:hAnsi="Trebuchet MS"/>
                <w:sz w:val="21"/>
                <w:szCs w:val="21"/>
              </w:rPr>
            </w:pPr>
          </w:p>
        </w:tc>
      </w:tr>
      <w:tr w:rsidR="005D699E" w:rsidRPr="009D5E58">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rPr>
                <w:rFonts w:ascii="Trebuchet MS" w:hAnsi="Trebuchet MS"/>
                <w:sz w:val="21"/>
                <w:szCs w:val="21"/>
              </w:rPr>
            </w:pPr>
            <w:r w:rsidRPr="009D5E58">
              <w:rPr>
                <w:rStyle w:val="Strong"/>
                <w:rFonts w:ascii="Trebuchet MS" w:hAnsi="Trebuchet MS"/>
                <w:sz w:val="21"/>
                <w:szCs w:val="21"/>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5D699E" w:rsidRPr="009D5E58" w:rsidRDefault="005D699E">
            <w:pPr>
              <w:pStyle w:val="NormalWeb"/>
              <w:rPr>
                <w:rFonts w:ascii="Trebuchet MS" w:hAnsi="Trebuchet MS"/>
                <w:sz w:val="21"/>
                <w:szCs w:val="21"/>
              </w:rPr>
            </w:pPr>
            <w:r w:rsidRPr="009D5E58">
              <w:rPr>
                <w:rFonts w:ascii="Trebuchet MS" w:hAnsi="Trebuchet MS"/>
                <w:sz w:val="21"/>
                <w:szCs w:val="21"/>
              </w:rPr>
              <w:t>The Expert Review Panel has not reviewed this measure yet.</w:t>
            </w:r>
          </w:p>
        </w:tc>
      </w:tr>
    </w:tbl>
    <w:p w:rsidR="005D699E" w:rsidRPr="009D5E58" w:rsidRDefault="005D699E">
      <w:pPr>
        <w:rPr>
          <w:rFonts w:ascii="Trebuchet MS" w:hAnsi="Trebuchet MS"/>
        </w:rPr>
      </w:pPr>
    </w:p>
    <w:sectPr w:rsidR="005D699E" w:rsidRPr="009D5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39"/>
    <w:rsid w:val="00124543"/>
    <w:rsid w:val="005D699E"/>
    <w:rsid w:val="009D5E58"/>
    <w:rsid w:val="00E3451D"/>
    <w:rsid w:val="00EB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tails.loinc.org/LOINC/62632-5.html?sections=Web" TargetMode="External"/><Relationship Id="rId5" Type="http://schemas.openxmlformats.org/officeDocument/2006/relationships/hyperlink" Target="https://cdebrowser.nci.nih.gov/CDEBrowser/search?elementDetails=9&amp;FirstTimer=0&amp;PageId=ElementDetailsGroup&amp;publicId=2970219&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2971</CharactersWithSpaces>
  <SharedDoc>false</SharedDoc>
  <HLinks>
    <vt:vector size="12" baseType="variant">
      <vt:variant>
        <vt:i4>8323176</vt:i4>
      </vt:variant>
      <vt:variant>
        <vt:i4>3</vt:i4>
      </vt:variant>
      <vt:variant>
        <vt:i4>0</vt:i4>
      </vt:variant>
      <vt:variant>
        <vt:i4>5</vt:i4>
      </vt:variant>
      <vt:variant>
        <vt:lpwstr>http://s.details.loinc.org/LOINC/62632-5.html?sections=Web</vt:lpwstr>
      </vt:variant>
      <vt:variant>
        <vt:lpwstr/>
      </vt:variant>
      <vt:variant>
        <vt:i4>6881397</vt:i4>
      </vt:variant>
      <vt:variant>
        <vt:i4>0</vt:i4>
      </vt:variant>
      <vt:variant>
        <vt:i4>0</vt:i4>
      </vt:variant>
      <vt:variant>
        <vt:i4>5</vt:i4>
      </vt:variant>
      <vt:variant>
        <vt:lpwstr>https://cdebrowser.nci.nih.gov/CDEBrowser/search?elementDetails=9&amp;FirstTimer=0&amp;PageId=ElementDetailsGroup&amp;publicId=2970219&amp;version=1.0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2017-12-06T18:11:00Z</dcterms:created>
  <dcterms:modified xsi:type="dcterms:W3CDTF">2017-12-06T18:11:00Z</dcterms:modified>
</cp:coreProperties>
</file>