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63B8CDB" Type="http://schemas.openxmlformats.org/officeDocument/2006/relationships/officeDocument" Target="/word/document.xml" /><Relationship Id="coreR663B8CD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751201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State Tobacco Control Public Policies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 measure of tobacco use prevention and control policies at the state level.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examines tobacco use prevention and control policies.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Local Tobacco Control Public Policies [750601]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State Tobacco Control Public Policies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State Tobacco Activities Tracking and Evaluation (STATE) System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Centers for Disease Control and Prevention; CDC; State Tobacco Activities Tracking and Evaluation; STATE; smoke free; worksites; restaurants; BARS; bans; restrictions; excise tax; tobacco; minors; marketing; advertising; policy; Medicaid coverage; Smoking Cessation; emerging tobacco products; tribal tobacco sales and pricing; preemption; smoke-free air; second hand smoke; secondhand smoke; second-hand smoke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is based on extracting state legislative and Medicaid data from the Centers for Disease Control and Prevention’s State Tobacco Activities Tracking and Evaluation (STATE) System, an interactive data system that houses and displays current and historical state-level data on tobacco use prevention and control laws and policies. The STATE System is designed to integrate many data sources to provide comprehensive summary data and facilitate research and consistent data interpretation.</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State Tobacco Activities Tracking and Evaluation (STATE) System can be used to generate reports that provide state-level data on tobacco use prevention and control policies related to the following topics:</w:t>
            </w:r>
          </w:p>
          <w:p>
            <w:pPr>
              <w:numPr>
                <w:ilvl w:val="0"/>
                <w:numId w:val="1"/>
              </w:numPr>
              <w:spacing w:before="0" w:after="0"/>
              <w:ind w:hanging="360" w:left="720" w:right="0"/>
              <w:rPr>
                <w:rFonts w:ascii="Arial" w:hAnsi="Arial"/>
                <w:sz w:val="21"/>
              </w:rPr>
            </w:pPr>
            <w:r>
              <w:rPr>
                <w:rFonts w:ascii="Arial" w:hAnsi="Arial"/>
                <w:sz w:val="21"/>
              </w:rPr>
              <w:t>Comprehensive smoke-free air</w:t>
            </w:r>
          </w:p>
          <w:p>
            <w:pPr>
              <w:numPr>
                <w:ilvl w:val="0"/>
                <w:numId w:val="1"/>
              </w:numPr>
              <w:spacing w:before="0" w:after="0"/>
              <w:ind w:hanging="360" w:left="720" w:right="0"/>
              <w:rPr>
                <w:rFonts w:ascii="Arial" w:hAnsi="Arial"/>
                <w:sz w:val="21"/>
              </w:rPr>
            </w:pPr>
            <w:r>
              <w:rPr>
                <w:rFonts w:ascii="Arial" w:hAnsi="Arial"/>
                <w:sz w:val="21"/>
              </w:rPr>
              <w:t>Preemption of local smoke-free air laws</w:t>
            </w:r>
          </w:p>
          <w:p>
            <w:pPr>
              <w:numPr>
                <w:ilvl w:val="0"/>
                <w:numId w:val="1"/>
              </w:numPr>
              <w:spacing w:before="0" w:after="0"/>
              <w:ind w:hanging="360" w:left="720" w:right="0"/>
              <w:rPr>
                <w:rFonts w:ascii="Arial" w:hAnsi="Arial"/>
                <w:sz w:val="21"/>
              </w:rPr>
            </w:pPr>
            <w:r>
              <w:rPr>
                <w:rFonts w:ascii="Arial" w:hAnsi="Arial"/>
                <w:sz w:val="21"/>
              </w:rPr>
              <w:t>Excise taxes on tobacco products</w:t>
            </w:r>
          </w:p>
          <w:p>
            <w:pPr>
              <w:numPr>
                <w:ilvl w:val="0"/>
                <w:numId w:val="1"/>
              </w:numPr>
              <w:spacing w:before="0" w:after="0"/>
              <w:ind w:hanging="360" w:left="720" w:right="0"/>
              <w:rPr>
                <w:rFonts w:ascii="Arial" w:hAnsi="Arial"/>
                <w:sz w:val="21"/>
              </w:rPr>
            </w:pPr>
            <w:r>
              <w:rPr>
                <w:rFonts w:ascii="Arial" w:hAnsi="Arial"/>
                <w:sz w:val="21"/>
              </w:rPr>
              <w:t>Restrictions on minors’ access to tobacco products</w:t>
            </w:r>
          </w:p>
          <w:p>
            <w:pPr>
              <w:numPr>
                <w:ilvl w:val="0"/>
                <w:numId w:val="1"/>
              </w:numPr>
              <w:spacing w:before="0" w:after="0"/>
              <w:ind w:hanging="360" w:left="720" w:right="0"/>
              <w:rPr>
                <w:rFonts w:ascii="Arial" w:hAnsi="Arial"/>
                <w:sz w:val="21"/>
              </w:rPr>
            </w:pPr>
            <w:r>
              <w:rPr>
                <w:rFonts w:ascii="Arial" w:hAnsi="Arial"/>
                <w:sz w:val="21"/>
              </w:rPr>
              <w:t>Marketing/advertising restrictions</w:t>
            </w:r>
          </w:p>
          <w:p>
            <w:pPr>
              <w:numPr>
                <w:ilvl w:val="0"/>
                <w:numId w:val="1"/>
              </w:numPr>
              <w:spacing w:before="0" w:after="0"/>
              <w:ind w:hanging="360" w:left="720" w:right="0"/>
              <w:rPr>
                <w:rFonts w:ascii="Arial" w:hAnsi="Arial"/>
                <w:sz w:val="21"/>
              </w:rPr>
            </w:pPr>
            <w:r>
              <w:rPr>
                <w:rFonts w:ascii="Arial" w:hAnsi="Arial"/>
                <w:sz w:val="21"/>
              </w:rPr>
              <w:t>Policy requirements for Medicaid coverage for smoking cessation services</w:t>
            </w:r>
          </w:p>
          <w:p>
            <w:pPr>
              <w:numPr>
                <w:ilvl w:val="0"/>
                <w:numId w:val="1"/>
              </w:numPr>
              <w:spacing w:before="0" w:after="0"/>
              <w:ind w:hanging="360" w:left="720" w:right="0"/>
              <w:rPr>
                <w:rFonts w:ascii="Arial" w:hAnsi="Arial"/>
                <w:sz w:val="21"/>
              </w:rPr>
            </w:pPr>
            <w:r>
              <w:rPr>
                <w:rFonts w:ascii="Arial" w:hAnsi="Arial"/>
                <w:sz w:val="21"/>
              </w:rPr>
              <w:t>Restrictions on emerging tobacco products</w:t>
            </w:r>
          </w:p>
          <w:p>
            <w:pPr>
              <w:spacing w:before="240" w:after="240"/>
              <w:ind w:left="0" w:right="0"/>
              <w:rPr>
                <w:rFonts w:ascii="Arial" w:hAnsi="Arial"/>
                <w:sz w:val="21"/>
              </w:rPr>
            </w:pPr>
            <w:r>
              <w:rPr>
                <w:rFonts w:ascii="Arial" w:hAnsi="Arial"/>
                <w:sz w:val="21"/>
              </w:rPr>
              <w:t>To obtain a detailed report that displays data for a selected topic, measure, state, and year, see [link[apps.nccd.cdc.gov/statesystem/DetailedReport/DetailedReports.aspx|apps.nccd.cdc.gov/statesystem/DetailedReport/DetailedReports.aspx]].</w:t>
            </w:r>
          </w:p>
          <w:p>
            <w:pPr>
              <w:spacing w:before="240" w:after="240"/>
              <w:ind w:left="0" w:right="0"/>
              <w:rPr>
                <w:rFonts w:ascii="Arial" w:hAnsi="Arial"/>
                <w:sz w:val="21"/>
              </w:rPr>
            </w:pPr>
            <w:r>
              <w:rPr>
                <w:rFonts w:ascii="Arial" w:hAnsi="Arial"/>
                <w:b w:val="1"/>
                <w:sz w:val="21"/>
              </w:rPr>
              <w:t>Using the Detailed Report</w:t>
            </w:r>
          </w:p>
          <w:p>
            <w:pPr>
              <w:spacing w:before="240" w:after="240"/>
              <w:ind w:left="0" w:right="0"/>
              <w:rPr>
                <w:rFonts w:ascii="Arial" w:hAnsi="Arial"/>
                <w:sz w:val="21"/>
              </w:rPr>
            </w:pPr>
            <w:r>
              <w:rPr>
                <w:rFonts w:ascii="Arial" w:hAnsi="Arial"/>
                <w:sz w:val="21"/>
              </w:rPr>
              <w:t>1. Select a Topic.</w:t>
            </w:r>
          </w:p>
          <w:p>
            <w:pPr>
              <w:spacing w:before="240" w:after="240"/>
              <w:ind w:left="0" w:right="0"/>
              <w:rPr>
                <w:rFonts w:ascii="Arial" w:hAnsi="Arial"/>
                <w:sz w:val="21"/>
              </w:rPr>
            </w:pPr>
            <w:r>
              <w:rPr>
                <w:rFonts w:ascii="Arial" w:hAnsi="Arial"/>
                <w:sz w:val="21"/>
              </w:rPr>
              <w:t>Note: The Topic selected determines the options available for the Measure, State and Year fields.</w:t>
            </w:r>
          </w:p>
          <w:p>
            <w:pPr>
              <w:spacing w:before="240" w:after="240"/>
              <w:ind w:left="0" w:right="0"/>
              <w:rPr>
                <w:rFonts w:ascii="Arial" w:hAnsi="Arial"/>
                <w:sz w:val="21"/>
              </w:rPr>
            </w:pPr>
            <w:r>
              <w:rPr>
                <w:rFonts w:ascii="Arial" w:hAnsi="Arial"/>
                <w:sz w:val="21"/>
              </w:rPr>
              <w:t>2. Select a Measure.</w:t>
            </w:r>
          </w:p>
          <w:p>
            <w:pPr>
              <w:spacing w:before="240" w:after="240"/>
              <w:ind w:left="0" w:right="0"/>
              <w:rPr>
                <w:rFonts w:ascii="Arial" w:hAnsi="Arial"/>
                <w:sz w:val="21"/>
              </w:rPr>
            </w:pPr>
            <w:r>
              <w:rPr>
                <w:rFonts w:ascii="Arial" w:hAnsi="Arial"/>
                <w:sz w:val="21"/>
              </w:rPr>
              <w:t>Note: The Measure selected determines the options available for the State and Year fields.</w:t>
            </w:r>
          </w:p>
          <w:p>
            <w:pPr>
              <w:spacing w:before="240" w:after="240"/>
              <w:ind w:left="0" w:right="0"/>
              <w:rPr>
                <w:rFonts w:ascii="Arial" w:hAnsi="Arial"/>
                <w:sz w:val="21"/>
              </w:rPr>
            </w:pPr>
            <w:r>
              <w:rPr>
                <w:rFonts w:ascii="Arial" w:hAnsi="Arial"/>
                <w:sz w:val="21"/>
              </w:rPr>
              <w:t>3. Select a State and a Year and click Generate Report.</w:t>
            </w:r>
          </w:p>
          <w:p>
            <w:pPr>
              <w:spacing w:before="240" w:after="240"/>
              <w:ind w:left="0" w:right="0"/>
              <w:rPr>
                <w:rFonts w:ascii="Arial" w:hAnsi="Arial"/>
                <w:sz w:val="21"/>
              </w:rPr>
            </w:pPr>
            <w:r>
              <w:rPr>
                <w:rFonts w:ascii="Arial" w:hAnsi="Arial"/>
                <w:sz w:val="21"/>
              </w:rPr>
              <w:t>To obtain a state comparison report that displays data for a selected topic, measure, and year, see [link[apps.nccd.cdc.gov/statesystem/ComparisonReport/ComparisonReports.aspx|apps.nccd.cdc.gov/statesystem/ComparisonReport/ComparisonReports.aspx]].</w:t>
            </w:r>
          </w:p>
          <w:p>
            <w:pPr>
              <w:spacing w:before="240" w:after="240"/>
              <w:ind w:left="0" w:right="0"/>
              <w:rPr>
                <w:rFonts w:ascii="Arial" w:hAnsi="Arial"/>
                <w:sz w:val="21"/>
              </w:rPr>
            </w:pPr>
            <w:r>
              <w:rPr>
                <w:rFonts w:ascii="Arial" w:hAnsi="Arial"/>
                <w:b w:val="1"/>
                <w:sz w:val="21"/>
              </w:rPr>
              <w:t>Using the State Comparison Report</w:t>
            </w:r>
          </w:p>
          <w:p>
            <w:pPr>
              <w:spacing w:before="240" w:after="240"/>
              <w:ind w:left="0" w:right="0"/>
              <w:rPr>
                <w:rFonts w:ascii="Arial" w:hAnsi="Arial"/>
                <w:sz w:val="21"/>
              </w:rPr>
            </w:pPr>
            <w:r>
              <w:rPr>
                <w:rFonts w:ascii="Arial" w:hAnsi="Arial"/>
                <w:sz w:val="21"/>
              </w:rPr>
              <w:t xml:space="preserve">1. Select a Topic. </w:t>
            </w:r>
          </w:p>
          <w:p>
            <w:pPr>
              <w:spacing w:before="240" w:after="240"/>
              <w:ind w:left="0" w:right="0"/>
              <w:rPr>
                <w:rFonts w:ascii="Arial" w:hAnsi="Arial"/>
                <w:sz w:val="21"/>
              </w:rPr>
            </w:pPr>
            <w:r>
              <w:rPr>
                <w:rFonts w:ascii="Arial" w:hAnsi="Arial"/>
                <w:sz w:val="21"/>
              </w:rPr>
              <w:t>Note: The Topic selected determines the options available for the Measure and Year fields.</w:t>
            </w:r>
          </w:p>
          <w:p>
            <w:pPr>
              <w:spacing w:before="240" w:after="240"/>
              <w:ind w:left="0" w:right="0"/>
              <w:rPr>
                <w:rFonts w:ascii="Arial" w:hAnsi="Arial"/>
                <w:sz w:val="21"/>
              </w:rPr>
            </w:pPr>
            <w:r>
              <w:rPr>
                <w:rFonts w:ascii="Arial" w:hAnsi="Arial"/>
                <w:sz w:val="21"/>
              </w:rPr>
              <w:t>2. Select a Measure.</w:t>
            </w:r>
          </w:p>
          <w:p>
            <w:pPr>
              <w:spacing w:before="240" w:after="240"/>
              <w:ind w:left="0" w:right="0"/>
              <w:rPr>
                <w:rFonts w:ascii="Arial" w:hAnsi="Arial"/>
                <w:sz w:val="21"/>
              </w:rPr>
            </w:pPr>
            <w:r>
              <w:rPr>
                <w:rFonts w:ascii="Arial" w:hAnsi="Arial"/>
                <w:sz w:val="21"/>
              </w:rPr>
              <w:t xml:space="preserve">Note: The Measure selected determines the options available for the Year field. </w:t>
            </w:r>
          </w:p>
          <w:p>
            <w:pPr>
              <w:spacing w:before="240" w:after="240"/>
              <w:ind w:left="0" w:right="0"/>
              <w:rPr>
                <w:rFonts w:ascii="Arial" w:hAnsi="Arial"/>
                <w:sz w:val="21"/>
              </w:rPr>
            </w:pPr>
            <w:r>
              <w:rPr>
                <w:rFonts w:ascii="Arial" w:hAnsi="Arial"/>
                <w:sz w:val="21"/>
              </w:rPr>
              <w:t>3. Select a Year and an Output Type in which you would like to view the data and click Generate Report.</w:t>
            </w:r>
          </w:p>
          <w:p>
            <w:pPr>
              <w:spacing w:before="240" w:after="240"/>
              <w:ind w:left="0" w:right="0"/>
              <w:rPr>
                <w:rFonts w:ascii="Arial" w:hAnsi="Arial"/>
                <w:sz w:val="21"/>
              </w:rPr>
            </w:pPr>
            <w:r>
              <w:rPr>
                <w:rFonts w:ascii="Arial" w:hAnsi="Arial"/>
                <w:sz w:val="21"/>
              </w:rPr>
              <w:t>Note: The application generates both tabular and graphical view for the HTML output option and only tabular view for Excel output option.</w:t>
            </w:r>
          </w:p>
          <w:p>
            <w:pPr>
              <w:spacing w:before="240" w:after="240"/>
              <w:ind w:left="0" w:right="0"/>
              <w:rPr>
                <w:rFonts w:ascii="Arial" w:hAnsi="Arial"/>
                <w:sz w:val="21"/>
              </w:rPr>
            </w:pPr>
            <w:r>
              <w:rPr>
                <w:rFonts w:ascii="Arial" w:hAnsi="Arial"/>
                <w:sz w:val="21"/>
              </w:rPr>
              <w:t>To obtain a trend report that displays data for a selected topic area, measure, and multiple subtopics, states and years, see</w:t>
            </w:r>
          </w:p>
          <w:p>
            <w:pPr>
              <w:spacing w:before="240" w:after="240"/>
              <w:ind w:left="0" w:right="0"/>
              <w:rPr>
                <w:rFonts w:ascii="Arial" w:hAnsi="Arial"/>
                <w:sz w:val="21"/>
              </w:rPr>
            </w:pPr>
            <w:r>
              <w:rPr>
                <w:rFonts w:ascii="Arial" w:hAnsi="Arial"/>
                <w:sz w:val="21"/>
              </w:rPr>
              <w:t xml:space="preserve">[link[apps.nccd.cdc.gov/statesystem/TrendReport/TrendReports.aspx|apps.nccd.cdc.gov/statesystem/TrendReport/TrendReports.aspx]]. </w:t>
            </w:r>
          </w:p>
          <w:p>
            <w:pPr>
              <w:spacing w:before="240" w:after="240"/>
              <w:ind w:left="0" w:right="0"/>
              <w:rPr>
                <w:rFonts w:ascii="Arial" w:hAnsi="Arial"/>
                <w:sz w:val="21"/>
              </w:rPr>
            </w:pPr>
            <w:r>
              <w:rPr>
                <w:rFonts w:ascii="Arial" w:hAnsi="Arial"/>
                <w:b w:val="1"/>
                <w:sz w:val="21"/>
              </w:rPr>
              <w:t>Using the Trend Report</w:t>
            </w:r>
          </w:p>
          <w:p>
            <w:pPr>
              <w:spacing w:before="240" w:after="240"/>
              <w:ind w:left="0" w:right="0"/>
              <w:rPr>
                <w:rFonts w:ascii="Arial" w:hAnsi="Arial"/>
                <w:sz w:val="21"/>
              </w:rPr>
            </w:pPr>
            <w:r>
              <w:rPr>
                <w:rFonts w:ascii="Arial" w:hAnsi="Arial"/>
                <w:sz w:val="21"/>
              </w:rPr>
              <w:t xml:space="preserve">1. Select a Topic and click Select. </w:t>
            </w:r>
          </w:p>
          <w:p>
            <w:pPr>
              <w:spacing w:before="240" w:after="240"/>
              <w:ind w:left="0" w:right="0"/>
              <w:rPr>
                <w:rFonts w:ascii="Arial" w:hAnsi="Arial"/>
                <w:sz w:val="21"/>
              </w:rPr>
            </w:pPr>
            <w:r>
              <w:rPr>
                <w:rFonts w:ascii="Arial" w:hAnsi="Arial"/>
                <w:sz w:val="21"/>
              </w:rPr>
              <w:t xml:space="preserve">Note: The Topic selected determines the options available for the Measure, Sub-Topics, States and Years fields. </w:t>
            </w:r>
          </w:p>
          <w:p>
            <w:pPr>
              <w:spacing w:before="240" w:after="240"/>
              <w:ind w:left="0" w:right="0"/>
              <w:rPr>
                <w:rFonts w:ascii="Arial" w:hAnsi="Arial"/>
                <w:sz w:val="21"/>
              </w:rPr>
            </w:pPr>
            <w:r>
              <w:rPr>
                <w:rFonts w:ascii="Arial" w:hAnsi="Arial"/>
                <w:sz w:val="21"/>
              </w:rPr>
              <w:t>2. Select a Measure and click Select.</w:t>
            </w:r>
          </w:p>
          <w:p>
            <w:pPr>
              <w:spacing w:before="240" w:after="240"/>
              <w:ind w:left="0" w:right="0"/>
              <w:rPr>
                <w:rFonts w:ascii="Arial" w:hAnsi="Arial"/>
                <w:sz w:val="21"/>
              </w:rPr>
            </w:pPr>
            <w:r>
              <w:rPr>
                <w:rFonts w:ascii="Arial" w:hAnsi="Arial"/>
                <w:sz w:val="21"/>
              </w:rPr>
              <w:t xml:space="preserve">Note: The Measure selected determines the options available for the Sub-Topics, States and Years fields. </w:t>
            </w:r>
          </w:p>
          <w:p>
            <w:pPr>
              <w:spacing w:before="240" w:after="240"/>
              <w:ind w:left="0" w:right="0"/>
              <w:rPr>
                <w:rFonts w:ascii="Arial" w:hAnsi="Arial"/>
                <w:sz w:val="21"/>
              </w:rPr>
            </w:pPr>
            <w:r>
              <w:rPr>
                <w:rFonts w:ascii="Arial" w:hAnsi="Arial"/>
                <w:sz w:val="21"/>
              </w:rPr>
              <w:t xml:space="preserve">3. Select Subtopics, States, Years, Table Format, Graphic Format and Output Type in which you would like to view the data and click Generate Report. </w:t>
            </w:r>
          </w:p>
          <w:p>
            <w:pPr>
              <w:spacing w:before="240" w:after="240"/>
              <w:ind w:left="0" w:right="0"/>
              <w:rPr>
                <w:rFonts w:ascii="Arial" w:hAnsi="Arial"/>
                <w:sz w:val="21"/>
              </w:rPr>
            </w:pPr>
            <w:r>
              <w:rPr>
                <w:rFonts w:ascii="Arial" w:hAnsi="Arial"/>
                <w:sz w:val="21"/>
              </w:rPr>
              <w:t>Note: (a) To select multiple values from the Sub-Topics, States and Years, hold down the control key on a PC or the option key on a Mac and click on your selections. (b) No data will be displayed if no selections are made for Sub-Topics, States and Years fields. (c) If more than 5 states are selected, the graphic format option will not be available, and the data will be displayed in tabular format, only. (d) If more than 10 years or less than 2 years are selected, the graphical format option will not be available. In such a case the data will be only displayed in tabular format.</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Tobacco use is the single leading cause of preventable deaths and disease in the United States. State public policy interventions and insurance mandates for cessation services through Medicaid have been shown to be critical tools to prevent and reduce tobacco use by children, youth, and adults.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(CDC), National Center for Chronic Disease Prevention and Health Promotion, Office on Smoking and Health (OSH), State Tobacco Activities Tracking and Evaluation (STATE) System. Available at: [link[www.cdc.gov/tobacco/statesystem|www.cdc.gov/tobacco/statesystem]].</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Not applicable: derived from publicly available secondary data.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Knowledge of the State Tobacco Activities Tracking and Evaluation (STATE) System. Further analysis of the extracted data is required.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Access to a computer with Internet access.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(CDC). (N.d.). State Tobacco Activities Tracking and Evaluation (STATE) System. Available at: [link[www.cdc.gov/tobacco/statesystem|www.cdc.gov/tobacco/statesystem]]. </w:t>
            </w:r>
          </w:p>
          <w:p>
            <w:pPr>
              <w:spacing w:before="240" w:after="240"/>
              <w:ind w:left="0" w:right="0"/>
              <w:rPr>
                <w:rFonts w:ascii="Arial" w:hAnsi="Arial"/>
                <w:sz w:val="21"/>
              </w:rPr>
            </w:pPr>
            <w:r>
              <w:rPr>
                <w:rFonts w:ascii="Arial" w:hAnsi="Arial"/>
                <w:sz w:val="21"/>
              </w:rPr>
              <w:t xml:space="preserve">Centers for Disease Control and Prevention (CDC). (2005). State smoking restrictions or private-sector worksites, restaurants, and bars-United States, 1998 and 2004. </w:t>
            </w:r>
            <w:r>
              <w:rPr>
                <w:rFonts w:ascii="Arial" w:hAnsi="Arial"/>
                <w:i w:val="1"/>
                <w:sz w:val="21"/>
              </w:rPr>
              <w:t>MMWR: Morbidity and Mortality Weekly Report, 54</w:t>
            </w:r>
            <w:r>
              <w:rPr>
                <w:rFonts w:ascii="Arial" w:hAnsi="Arial"/>
                <w:sz w:val="21"/>
              </w:rPr>
              <w:t xml:space="preserve">(26), 649-653. </w:t>
            </w:r>
          </w:p>
          <w:p>
            <w:pPr>
              <w:spacing w:before="240" w:after="240"/>
              <w:ind w:left="0" w:right="0"/>
              <w:rPr>
                <w:rFonts w:ascii="Arial" w:hAnsi="Arial"/>
                <w:sz w:val="21"/>
              </w:rPr>
            </w:pPr>
            <w:r>
              <w:rPr>
                <w:rFonts w:ascii="Arial" w:hAnsi="Arial"/>
                <w:sz w:val="21"/>
              </w:rPr>
              <w:t xml:space="preserve">Centers for Disease Control and Prevention (CDC). (2008). State smoking restrictions for private-sector worksites, restaurants, and bars-United States, 2004 and 2007. </w:t>
            </w:r>
            <w:r>
              <w:rPr>
                <w:rFonts w:ascii="Arial" w:hAnsi="Arial"/>
                <w:i w:val="1"/>
                <w:sz w:val="21"/>
              </w:rPr>
              <w:t>MMWR: Morbidity and Mortality Weekly Report, 57</w:t>
            </w:r>
            <w:r>
              <w:rPr>
                <w:rFonts w:ascii="Arial" w:hAnsi="Arial"/>
                <w:sz w:val="21"/>
              </w:rPr>
              <w:t>(20), 549-552.</w:t>
            </w:r>
          </w:p>
          <w:p>
            <w:pPr>
              <w:spacing w:before="240" w:after="240"/>
              <w:ind w:left="0" w:right="0"/>
              <w:rPr>
                <w:rFonts w:ascii="Arial" w:hAnsi="Arial"/>
                <w:sz w:val="21"/>
              </w:rPr>
            </w:pPr>
            <w:r>
              <w:rPr>
                <w:rFonts w:ascii="Arial" w:hAnsi="Arial"/>
                <w:sz w:val="21"/>
              </w:rPr>
              <w:t xml:space="preserve">Centers for Disease Control and Prevention (CDC). (2011). State preemption of local tobacco control policies restricting smoking, advertising, and youth access-United States, 2000-2010. </w:t>
            </w:r>
            <w:r>
              <w:rPr>
                <w:rFonts w:ascii="Arial" w:hAnsi="Arial"/>
                <w:i w:val="1"/>
                <w:sz w:val="21"/>
              </w:rPr>
              <w:t>MMWR: Morbidity and Mortality Weekly Report, 60</w:t>
            </w:r>
            <w:r>
              <w:rPr>
                <w:rFonts w:ascii="Arial" w:hAnsi="Arial"/>
                <w:sz w:val="21"/>
              </w:rPr>
              <w:t xml:space="preserve">(33), 1124-1127. </w:t>
            </w:r>
          </w:p>
          <w:p>
            <w:pPr>
              <w:spacing w:before="240" w:after="240"/>
              <w:ind w:left="0" w:right="0"/>
              <w:rPr>
                <w:rFonts w:ascii="Arial" w:hAnsi="Arial"/>
                <w:sz w:val="21"/>
              </w:rPr>
            </w:pPr>
            <w:r>
              <w:rPr>
                <w:rFonts w:ascii="Arial" w:hAnsi="Arial"/>
                <w:sz w:val="21"/>
              </w:rPr>
              <w:t xml:space="preserve">Centers for Disease Control and Prevention (CDC). (2011). State smoke-free laws for worksites, restaurants, and bars-United States, 2000-2010. </w:t>
            </w:r>
            <w:r>
              <w:rPr>
                <w:rFonts w:ascii="Arial" w:hAnsi="Arial"/>
                <w:i w:val="1"/>
                <w:sz w:val="21"/>
              </w:rPr>
              <w:t>MMWR: Morbidity and Mortality Weekly Report, 60</w:t>
            </w:r>
            <w:r>
              <w:rPr>
                <w:rFonts w:ascii="Arial" w:hAnsi="Arial"/>
                <w:sz w:val="21"/>
              </w:rPr>
              <w:t>(15), 472-475.</w:t>
            </w:r>
          </w:p>
          <w:p>
            <w:pPr>
              <w:spacing w:before="240" w:after="240"/>
              <w:ind w:left="0" w:right="0"/>
              <w:rPr>
                <w:rFonts w:ascii="Arial" w:hAnsi="Arial"/>
                <w:sz w:val="21"/>
              </w:rPr>
            </w:pPr>
            <w:r>
              <w:rPr>
                <w:rFonts w:ascii="Arial" w:hAnsi="Arial"/>
                <w:sz w:val="21"/>
              </w:rPr>
              <w:t xml:space="preserve">Centers for Disease Control and Prevention (CDC). (2012). Comprehensive smoke-free laws-50 largest U.S. cities, 2000 and 2012. </w:t>
            </w:r>
            <w:r>
              <w:rPr>
                <w:rFonts w:ascii="Arial" w:hAnsi="Arial"/>
                <w:i w:val="1"/>
                <w:sz w:val="21"/>
              </w:rPr>
              <w:t>MMWR: Morbidity and Mortality Weekly Report, 61</w:t>
            </w:r>
            <w:r>
              <w:rPr>
                <w:rFonts w:ascii="Arial" w:hAnsi="Arial"/>
                <w:sz w:val="21"/>
              </w:rPr>
              <w:t xml:space="preserve">(45), 914-917. </w:t>
            </w:r>
          </w:p>
          <w:p>
            <w:pPr>
              <w:spacing w:before="240" w:after="240"/>
              <w:ind w:left="0" w:right="0"/>
              <w:rPr>
                <w:rFonts w:ascii="Arial" w:hAnsi="Arial"/>
                <w:sz w:val="21"/>
              </w:rPr>
            </w:pPr>
            <w:r>
              <w:rPr>
                <w:rFonts w:ascii="Arial" w:hAnsi="Arial"/>
                <w:sz w:val="21"/>
              </w:rPr>
              <w:t xml:space="preserve">Marynak, K., Holmes, C. B., King, B. A., Promoff, G., Bunnell, R., &amp; McAfee, T.; Centers for Disease Control and Prevention (CDC). (2014). State laws prohibiting sales to minors and indoor use of electronic nicotine delivery systems-United States, November 2014. </w:t>
            </w:r>
            <w:r>
              <w:rPr>
                <w:rFonts w:ascii="Arial" w:hAnsi="Arial"/>
                <w:i w:val="1"/>
                <w:sz w:val="21"/>
              </w:rPr>
              <w:t>MMWR: Morbidity and Mortality Weekly Report, 63</w:t>
            </w:r>
            <w:r>
              <w:rPr>
                <w:rFonts w:ascii="Arial" w:hAnsi="Arial"/>
                <w:sz w:val="21"/>
              </w:rPr>
              <w:t xml:space="preserve">(49), 1145-1150. (Erratum published December 19, 2014, </w:t>
            </w:r>
            <w:r>
              <w:rPr>
                <w:rFonts w:ascii="Arial" w:hAnsi="Arial"/>
                <w:i w:val="1"/>
                <w:sz w:val="21"/>
              </w:rPr>
              <w:t>MMWR: Morbidity and Mortality Weekly Report, 63</w:t>
            </w:r>
            <w:r>
              <w:rPr>
                <w:rFonts w:ascii="Arial" w:hAnsi="Arial"/>
                <w:sz w:val="21"/>
              </w:rPr>
              <w:t>[50], p. 1212)</w:t>
            </w:r>
          </w:p>
          <w:p>
            <w:pPr>
              <w:spacing w:before="240" w:after="240"/>
              <w:ind w:left="0" w:right="0"/>
              <w:rPr>
                <w:rFonts w:ascii="Arial" w:hAnsi="Arial"/>
                <w:sz w:val="21"/>
              </w:rPr>
            </w:pPr>
            <w:r>
              <w:rPr>
                <w:rFonts w:ascii="Arial" w:hAnsi="Arial"/>
                <w:sz w:val="21"/>
              </w:rPr>
              <w:t xml:space="preserve">Singleterry, J., Jump, Z., Lancet, E., Babb, S., MacNeil, A., &amp; Zhang, L.; Centers for Disease Control and Prevention (CDC). (2014). State Medicaid coverage for tobacco cessation treatments and barriers to coverage-United States, 2008-2014. </w:t>
            </w:r>
            <w:r>
              <w:rPr>
                <w:rFonts w:ascii="Arial" w:hAnsi="Arial"/>
                <w:i w:val="1"/>
                <w:sz w:val="21"/>
              </w:rPr>
              <w:t>MMWR: Morbidity and Mortality Weekly Report, 63</w:t>
            </w:r>
            <w:r>
              <w:rPr>
                <w:rFonts w:ascii="Arial" w:hAnsi="Arial"/>
                <w:sz w:val="21"/>
              </w:rPr>
              <w:t xml:space="preserve">(12), 264-269. (Erratum published July 25, 2014, </w:t>
            </w:r>
            <w:r>
              <w:rPr>
                <w:rFonts w:ascii="Arial" w:hAnsi="Arial"/>
                <w:i w:val="1"/>
                <w:sz w:val="21"/>
              </w:rPr>
              <w:t>MMWR: Morbidity and Mortality Weekly Report, 63</w:t>
            </w:r>
            <w:r>
              <w:rPr>
                <w:rFonts w:ascii="Arial" w:hAnsi="Arial"/>
                <w:sz w:val="21"/>
              </w:rPr>
              <w:t xml:space="preserve">[29], p.640) </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69049C86"/>
    <w:multiLevelType w:val="hybridMultilevel"/>
    <w:lvl w:ilvl="0" w:tplc="1D60DED9">
      <w:start w:val="1"/>
      <w:numFmt w:val="bullet"/>
      <w:suff w:val="tab"/>
      <w:lvlText w:val="·"/>
      <w:lvlJc w:val="left"/>
      <w:pPr>
        <w:ind w:hanging="360" w:left="720"/>
      </w:pPr>
      <w:rPr>
        <w:rFonts w:ascii="Symbol" w:hAnsi="Symbol"/>
      </w:rPr>
    </w:lvl>
    <w:lvl w:ilvl="1" w:tplc="4CF6DFC9">
      <w:start w:val="1"/>
      <w:numFmt w:val="bullet"/>
      <w:suff w:val="tab"/>
      <w:lvlText w:val="o"/>
      <w:lvlJc w:val="left"/>
      <w:pPr>
        <w:ind w:hanging="360" w:left="1440"/>
      </w:pPr>
      <w:rPr>
        <w:rFonts w:ascii="Symbol" w:hAnsi="Symbol"/>
      </w:rPr>
    </w:lvl>
    <w:lvl w:ilvl="2" w:tplc="6EE0EB7B">
      <w:start w:val="1"/>
      <w:numFmt w:val="bullet"/>
      <w:suff w:val="tab"/>
      <w:lvlText w:val="·"/>
      <w:lvlJc w:val="left"/>
      <w:pPr>
        <w:ind w:hanging="360" w:left="2160"/>
      </w:pPr>
      <w:rPr>
        <w:rFonts w:ascii="Symbol" w:hAnsi="Symbol"/>
      </w:rPr>
    </w:lvl>
    <w:lvl w:ilvl="3" w:tplc="7A134291">
      <w:start w:val="1"/>
      <w:numFmt w:val="bullet"/>
      <w:suff w:val="tab"/>
      <w:lvlText w:val="o"/>
      <w:lvlJc w:val="left"/>
      <w:pPr>
        <w:ind w:hanging="360" w:left="2880"/>
      </w:pPr>
      <w:rPr>
        <w:rFonts w:ascii="Symbol" w:hAnsi="Symbol"/>
      </w:rPr>
    </w:lvl>
    <w:lvl w:ilvl="4" w:tplc="55695794">
      <w:start w:val="1"/>
      <w:numFmt w:val="bullet"/>
      <w:suff w:val="tab"/>
      <w:lvlText w:val="·"/>
      <w:lvlJc w:val="left"/>
      <w:pPr>
        <w:ind w:hanging="360" w:left="3600"/>
      </w:pPr>
      <w:rPr>
        <w:rFonts w:ascii="Symbol" w:hAnsi="Symbol"/>
      </w:rPr>
    </w:lvl>
    <w:lvl w:ilvl="5" w:tplc="18DE9019">
      <w:start w:val="1"/>
      <w:numFmt w:val="bullet"/>
      <w:suff w:val="tab"/>
      <w:lvlText w:val="o"/>
      <w:lvlJc w:val="left"/>
      <w:pPr>
        <w:ind w:hanging="360" w:left="4320"/>
      </w:pPr>
      <w:rPr>
        <w:rFonts w:ascii="Symbol" w:hAnsi="Symbol"/>
      </w:rPr>
    </w:lvl>
    <w:lvl w:ilvl="6" w:tplc="21658D93">
      <w:start w:val="1"/>
      <w:numFmt w:val="bullet"/>
      <w:suff w:val="tab"/>
      <w:lvlText w:val="·"/>
      <w:lvlJc w:val="left"/>
      <w:pPr>
        <w:ind w:hanging="360" w:left="5040"/>
      </w:pPr>
      <w:rPr>
        <w:rFonts w:ascii="Symbol" w:hAnsi="Symbol"/>
      </w:rPr>
    </w:lvl>
    <w:lvl w:ilvl="7" w:tplc="6A46AD92">
      <w:start w:val="1"/>
      <w:numFmt w:val="bullet"/>
      <w:suff w:val="tab"/>
      <w:lvlText w:val="o"/>
      <w:lvlJc w:val="left"/>
      <w:pPr>
        <w:ind w:hanging="360" w:left="5760"/>
      </w:pPr>
      <w:rPr>
        <w:rFonts w:ascii="Symbol" w:hAnsi="Symbol"/>
      </w:rPr>
    </w:lvl>
    <w:lvl w:ilvl="8" w:tplc="0E1FBDFF">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