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8F8B117" Type="http://schemas.openxmlformats.org/officeDocument/2006/relationships/officeDocument" Target="/word/document.xml" /><Relationship Id="coreR48F8B11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750601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Local Tobacco Control Public Policies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A measure of tobacco use prevention and control policies at the local-level.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examines tobacco use prevention and control policies.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State Tobacco Control Public Policies [751201]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Local Tobacco Control Public Policies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American Nonsmokers Rights Foundation (ANRF) U.S. Tobacco Control Laws Database, 2015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American Nonsmokers’ Rights Foundation; ANRF; U.S. Tobacco Control Laws Database; smoke free; bans; restrictions; excise tax; tobacco; minors; marketing; advertising; policy; emerging tobacco products; preemption; smoke-free air; second hand smoke; secondhand smoke; second-hand smoke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uses tobacco control legislative data from the American Nonsmokers’ Rights Foundation’s (ANRF’s) U.S. Tobacco Control Laws Database, a standardized system and national collection of local ordinances and board of health regulations containing provisions on clean indoor air, restrictions on youth access to tobacco, tobacco sales and distribution restrictions, tobacco advertising and promotion restrictions, tobacco excise taxes, and conditional use permits.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With the exception of lists of current local jurisdictions that are 100% smoke free, all American Nonsmokers’ Rights Foundation (ANRF) data are proprietary. To purchase data on additional topics from the database, please call ANRF for a quote at 510-841-3032, or e-mail the Ordinance Database Team at </w:t>
            </w:r>
            <w:r>
              <w:rPr>
                <w:rFonts w:ascii="Arial" w:hAnsi="Arial"/>
                <w:sz w:val="21"/>
              </w:rPr>
              <w:fldChar w:fldCharType="begin"/>
            </w:r>
            <w:r>
              <w:rPr>
                <w:rFonts w:ascii="Arial" w:hAnsi="Arial"/>
                <w:sz w:val="21"/>
              </w:rPr>
              <w:instrText>HYPERLINK "mailto:TobaccoLawsDatabase@no-smoke.org"</w:instrText>
            </w:r>
            <w:r>
              <w:rPr>
                <w:rFonts w:ascii="Arial" w:hAnsi="Arial"/>
                <w:sz w:val="21"/>
              </w:rPr>
              <w:fldChar w:fldCharType="separate"/>
            </w:r>
            <w:r>
              <w:rPr>
                <w:rStyle w:val="C2"/>
                <w:rFonts w:ascii="Arial" w:hAnsi="Arial"/>
                <w:sz w:val="21"/>
              </w:rPr>
              <w:t>TobaccoLawsDatabase@no-smoke.org</w:t>
            </w:r>
            <w:r>
              <w:rPr>
                <w:rStyle w:val="C2"/>
                <w:rFonts w:ascii="Arial" w:hAnsi="Arial"/>
                <w:sz w:val="21"/>
              </w:rPr>
              <w:fldChar w:fldCharType="end"/>
            </w:r>
            <w:r>
              <w:rPr>
                <w:rFonts w:ascii="Arial" w:hAnsi="Arial"/>
                <w:sz w:val="21"/>
              </w:rPr>
              <w:t xml:space="preserve">. </w:t>
            </w:r>
          </w:p>
          <w:p>
            <w:pPr>
              <w:spacing w:before="240" w:after="240"/>
              <w:ind w:left="0" w:right="0"/>
              <w:rPr>
                <w:rFonts w:ascii="Arial" w:hAnsi="Arial"/>
                <w:sz w:val="21"/>
              </w:rPr>
            </w:pPr>
            <w:r>
              <w:rPr>
                <w:rFonts w:ascii="Arial" w:hAnsi="Arial"/>
                <w:sz w:val="21"/>
              </w:rPr>
              <w:t xml:space="preserve">In addition, 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U.S. Tobacco Control Laws Database can be used to generate reports that provide local-level data on tobacco use prevention and control policies related to the following topics:</w:t>
            </w:r>
          </w:p>
          <w:p>
            <w:pPr>
              <w:numPr>
                <w:ilvl w:val="0"/>
                <w:numId w:val="1"/>
              </w:numPr>
              <w:spacing w:before="0" w:after="0"/>
              <w:ind w:hanging="360" w:left="720" w:right="0"/>
              <w:rPr>
                <w:rFonts w:ascii="Arial" w:hAnsi="Arial"/>
                <w:sz w:val="21"/>
              </w:rPr>
            </w:pPr>
            <w:r>
              <w:rPr>
                <w:rFonts w:ascii="Arial" w:hAnsi="Arial"/>
                <w:sz w:val="21"/>
              </w:rPr>
              <w:t>100% smokefree ordinances (non-hospitality worksites, restaurants, bars)</w:t>
            </w:r>
          </w:p>
          <w:p>
            <w:pPr>
              <w:numPr>
                <w:ilvl w:val="0"/>
                <w:numId w:val="1"/>
              </w:numPr>
              <w:spacing w:before="0" w:after="0"/>
              <w:ind w:hanging="360" w:left="720" w:right="0"/>
              <w:rPr>
                <w:rFonts w:ascii="Arial" w:hAnsi="Arial"/>
                <w:sz w:val="21"/>
              </w:rPr>
            </w:pPr>
            <w:r>
              <w:rPr>
                <w:rFonts w:ascii="Arial" w:hAnsi="Arial"/>
                <w:sz w:val="21"/>
              </w:rPr>
              <w:t>Preemption of local smokefree air laws</w:t>
            </w:r>
          </w:p>
          <w:p>
            <w:pPr>
              <w:numPr>
                <w:ilvl w:val="0"/>
                <w:numId w:val="1"/>
              </w:numPr>
              <w:spacing w:before="0" w:after="0"/>
              <w:ind w:hanging="360" w:left="720" w:right="0"/>
              <w:rPr>
                <w:rFonts w:ascii="Arial" w:hAnsi="Arial"/>
                <w:sz w:val="21"/>
              </w:rPr>
            </w:pPr>
            <w:r>
              <w:rPr>
                <w:rFonts w:ascii="Arial" w:hAnsi="Arial"/>
                <w:sz w:val="21"/>
              </w:rPr>
              <w:t>Excise taxes on tobacco products</w:t>
            </w:r>
          </w:p>
          <w:p>
            <w:pPr>
              <w:numPr>
                <w:ilvl w:val="0"/>
                <w:numId w:val="1"/>
              </w:numPr>
              <w:spacing w:before="0" w:after="0"/>
              <w:ind w:hanging="360" w:left="720" w:right="0"/>
              <w:rPr>
                <w:rFonts w:ascii="Arial" w:hAnsi="Arial"/>
                <w:sz w:val="21"/>
              </w:rPr>
            </w:pPr>
            <w:r>
              <w:rPr>
                <w:rFonts w:ascii="Arial" w:hAnsi="Arial"/>
                <w:sz w:val="21"/>
              </w:rPr>
              <w:t>Restrictions on minors’ access to tobacco products</w:t>
            </w:r>
          </w:p>
          <w:p>
            <w:pPr>
              <w:numPr>
                <w:ilvl w:val="0"/>
                <w:numId w:val="1"/>
              </w:numPr>
              <w:spacing w:before="0" w:after="0"/>
              <w:ind w:hanging="360" w:left="720" w:right="0"/>
              <w:rPr>
                <w:rFonts w:ascii="Arial" w:hAnsi="Arial"/>
                <w:sz w:val="21"/>
              </w:rPr>
            </w:pPr>
            <w:r>
              <w:rPr>
                <w:rFonts w:ascii="Arial" w:hAnsi="Arial"/>
                <w:sz w:val="21"/>
              </w:rPr>
              <w:t>Marketing/advertising restrictions</w:t>
            </w:r>
          </w:p>
          <w:p>
            <w:pPr>
              <w:numPr>
                <w:ilvl w:val="0"/>
                <w:numId w:val="1"/>
              </w:numPr>
              <w:spacing w:before="0" w:after="0"/>
              <w:ind w:hanging="360" w:left="720" w:right="0"/>
              <w:rPr>
                <w:rFonts w:ascii="Arial" w:hAnsi="Arial"/>
                <w:sz w:val="21"/>
              </w:rPr>
            </w:pPr>
            <w:r>
              <w:rPr>
                <w:rFonts w:ascii="Arial" w:hAnsi="Arial"/>
                <w:sz w:val="21"/>
              </w:rPr>
              <w:t>Restrictions on other (non-cigarette) tobacco products</w:t>
            </w:r>
          </w:p>
          <w:p>
            <w:pPr>
              <w:spacing w:before="240" w:after="240"/>
              <w:ind w:left="0" w:right="0"/>
              <w:rPr>
                <w:rFonts w:ascii="Arial" w:hAnsi="Arial"/>
                <w:sz w:val="21"/>
              </w:rPr>
            </w:pPr>
            <w:r>
              <w:rPr>
                <w:rFonts w:ascii="Arial" w:hAnsi="Arial"/>
                <w:sz w:val="21"/>
              </w:rPr>
              <w:t xml:space="preserve">To view the latest Smokefree Lists and Maps, and description of Data that are updated on a quarterly basis (January, April, July, and October) </w:t>
            </w:r>
          </w:p>
          <w:p>
            <w:pPr>
              <w:spacing w:before="240" w:after="240"/>
              <w:ind w:left="0" w:right="0"/>
              <w:rPr>
                <w:rFonts w:ascii="Arial" w:hAnsi="Arial"/>
                <w:sz w:val="21"/>
              </w:rPr>
            </w:pPr>
            <w:r>
              <w:rPr>
                <w:rFonts w:ascii="Arial" w:hAnsi="Arial"/>
                <w:sz w:val="21"/>
              </w:rPr>
              <w:t xml:space="preserve">see: [link[www.no-smoke.org/goingsmokefree.php?id=519|www.no-smoke.org/goingsmokefree.php?id=519]]. </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Tobacco use is the single leading cause of preventable deaths and disease in the United States. Extensive evidence demonstrates the effectiveness of various tobacco control policies in reducing tobacco use. In many jurisdictions, local tobacco control policies are stronger and/or more comprehensive than state policies.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American Nonsmokers’ Rights Foundation (ANRF). (2015). U.S. Tobacco Control Laws Database. [link[www.no-smoke.org/goingsmokefree.php?id=519|www.no-smoke.org/goingsmokefree.php?id=519]]</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Not applicable: Derived from proprietary secondary data.</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Knowledge of the American Nonsmokers’ Rights Foundation’s (ANRF’s) U.S. Tobacco Control Laws Database. Further analysis of the extracted data is required.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Access to a computer with Internet access.</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Babb, S., McNeil, C., Kruger, J., &amp; Tynan, M.A. (2015). Secondhand smoke and smoking restrictions in casinos: A review of the evidence. </w:t>
            </w:r>
            <w:r>
              <w:rPr>
                <w:rFonts w:ascii="Arial" w:hAnsi="Arial"/>
                <w:i w:val="1"/>
                <w:sz w:val="21"/>
              </w:rPr>
              <w:t>Tobacco Control, 24</w:t>
            </w:r>
            <w:r>
              <w:rPr>
                <w:rFonts w:ascii="Arial" w:hAnsi="Arial"/>
                <w:sz w:val="21"/>
              </w:rPr>
              <w:t>(1), 11-17.</w:t>
            </w:r>
          </w:p>
          <w:p>
            <w:pPr>
              <w:spacing w:before="240" w:after="240"/>
              <w:ind w:left="0" w:right="0"/>
              <w:rPr>
                <w:rFonts w:ascii="Arial" w:hAnsi="Arial"/>
                <w:sz w:val="21"/>
              </w:rPr>
            </w:pPr>
            <w:r>
              <w:rPr>
                <w:rFonts w:ascii="Arial" w:hAnsi="Arial"/>
                <w:sz w:val="21"/>
              </w:rPr>
              <w:t xml:space="preserve">Ferketich, A. K., Lugo, A., La Vecchia, C., Fernandez, E., Boffetta, P., Clancy, L., &amp; Gallus, S. (2014). Relation between national-level tobacco control policies and individual-level voluntary home smoking bans in Europe. </w:t>
            </w:r>
            <w:r>
              <w:rPr>
                <w:rFonts w:ascii="Arial" w:hAnsi="Arial"/>
                <w:i w:val="1"/>
                <w:sz w:val="21"/>
              </w:rPr>
              <w:t>Tobacco Control</w:t>
            </w:r>
            <w:r>
              <w:rPr>
                <w:rFonts w:ascii="Arial" w:hAnsi="Arial"/>
                <w:sz w:val="21"/>
              </w:rPr>
              <w:t xml:space="preserve"> [Epub ahead of print].</w:t>
            </w:r>
          </w:p>
          <w:p>
            <w:pPr>
              <w:spacing w:before="240" w:after="240"/>
              <w:ind w:left="0" w:right="0"/>
              <w:rPr>
                <w:rFonts w:ascii="Arial" w:hAnsi="Arial"/>
                <w:sz w:val="21"/>
              </w:rPr>
            </w:pPr>
            <w:r>
              <w:rPr>
                <w:rFonts w:ascii="Arial" w:hAnsi="Arial"/>
                <w:sz w:val="21"/>
              </w:rPr>
              <w:t xml:space="preserve">Hahn, E. J., Rayens, M. K., Adkins, S., Begley, K., &amp; York, N. (2015). A controlled community-based trial to promote smoke-free policy in rural communities. </w:t>
            </w:r>
            <w:r>
              <w:rPr>
                <w:rFonts w:ascii="Arial" w:hAnsi="Arial"/>
                <w:i w:val="1"/>
                <w:sz w:val="21"/>
              </w:rPr>
              <w:t>Journal of Rural Health, 31</w:t>
            </w:r>
            <w:r>
              <w:rPr>
                <w:rFonts w:ascii="Arial" w:hAnsi="Arial"/>
                <w:sz w:val="21"/>
              </w:rPr>
              <w:t>(1), 76-88.</w:t>
            </w:r>
          </w:p>
          <w:p>
            <w:pPr>
              <w:spacing w:before="240" w:after="240"/>
              <w:ind w:left="0" w:right="0"/>
              <w:rPr>
                <w:rFonts w:ascii="Arial" w:hAnsi="Arial"/>
                <w:sz w:val="21"/>
              </w:rPr>
            </w:pPr>
            <w:r>
              <w:rPr>
                <w:rFonts w:ascii="Arial" w:hAnsi="Arial"/>
                <w:sz w:val="21"/>
              </w:rPr>
              <w:t xml:space="preserve">Kadowaki, J., Vuolo, M., &amp; Kelly, B. C. (2015). A review of the current geographic distribution of and debate surrounding electronic cigarette clean air regulations in the United States. </w:t>
            </w:r>
            <w:r>
              <w:rPr>
                <w:rFonts w:ascii="Arial" w:hAnsi="Arial"/>
                <w:i w:val="1"/>
                <w:sz w:val="21"/>
              </w:rPr>
              <w:t xml:space="preserve">Health &amp; Place, 31, </w:t>
            </w:r>
            <w:r>
              <w:rPr>
                <w:rFonts w:ascii="Arial" w:hAnsi="Arial"/>
                <w:sz w:val="21"/>
              </w:rPr>
              <w:t>75-82.</w:t>
            </w:r>
          </w:p>
          <w:p>
            <w:pPr>
              <w:spacing w:before="240" w:after="240"/>
              <w:ind w:left="0" w:right="0"/>
              <w:rPr>
                <w:rFonts w:ascii="Arial" w:hAnsi="Arial"/>
                <w:sz w:val="21"/>
              </w:rPr>
            </w:pPr>
            <w:r>
              <w:rPr>
                <w:rFonts w:ascii="Arial" w:hAnsi="Arial"/>
                <w:sz w:val="21"/>
              </w:rPr>
              <w:t xml:space="preserve">Klein, E. G., &amp; Hood, N. E. (2015). The smoking ban next door: Do hospitality businesses in border areas have reduced sales after a statewide smoke-free policy? </w:t>
            </w:r>
            <w:r>
              <w:rPr>
                <w:rFonts w:ascii="Arial" w:hAnsi="Arial"/>
                <w:i w:val="1"/>
                <w:sz w:val="21"/>
              </w:rPr>
              <w:t>Health Policy, 119</w:t>
            </w:r>
            <w:r>
              <w:rPr>
                <w:rFonts w:ascii="Arial" w:hAnsi="Arial"/>
                <w:sz w:val="21"/>
              </w:rPr>
              <w:t>(1), 44-49.</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Secondary Data Analysis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7AE96E7"/>
    <w:multiLevelType w:val="hybridMultilevel"/>
    <w:lvl w:ilvl="0" w:tplc="557EE3BD">
      <w:start w:val="1"/>
      <w:numFmt w:val="bullet"/>
      <w:suff w:val="tab"/>
      <w:lvlText w:val="·"/>
      <w:lvlJc w:val="left"/>
      <w:pPr>
        <w:ind w:hanging="360" w:left="720"/>
      </w:pPr>
      <w:rPr>
        <w:rFonts w:ascii="Symbol" w:hAnsi="Symbol"/>
      </w:rPr>
    </w:lvl>
    <w:lvl w:ilvl="1" w:tplc="6C84163D">
      <w:start w:val="1"/>
      <w:numFmt w:val="bullet"/>
      <w:suff w:val="tab"/>
      <w:lvlText w:val="o"/>
      <w:lvlJc w:val="left"/>
      <w:pPr>
        <w:ind w:hanging="360" w:left="1440"/>
      </w:pPr>
      <w:rPr>
        <w:rFonts w:ascii="Symbol" w:hAnsi="Symbol"/>
      </w:rPr>
    </w:lvl>
    <w:lvl w:ilvl="2" w:tplc="3FF0F9F7">
      <w:start w:val="1"/>
      <w:numFmt w:val="bullet"/>
      <w:suff w:val="tab"/>
      <w:lvlText w:val="·"/>
      <w:lvlJc w:val="left"/>
      <w:pPr>
        <w:ind w:hanging="360" w:left="2160"/>
      </w:pPr>
      <w:rPr>
        <w:rFonts w:ascii="Symbol" w:hAnsi="Symbol"/>
      </w:rPr>
    </w:lvl>
    <w:lvl w:ilvl="3" w:tplc="57098201">
      <w:start w:val="1"/>
      <w:numFmt w:val="bullet"/>
      <w:suff w:val="tab"/>
      <w:lvlText w:val="o"/>
      <w:lvlJc w:val="left"/>
      <w:pPr>
        <w:ind w:hanging="360" w:left="2880"/>
      </w:pPr>
      <w:rPr>
        <w:rFonts w:ascii="Symbol" w:hAnsi="Symbol"/>
      </w:rPr>
    </w:lvl>
    <w:lvl w:ilvl="4" w:tplc="3D24BF0B">
      <w:start w:val="1"/>
      <w:numFmt w:val="bullet"/>
      <w:suff w:val="tab"/>
      <w:lvlText w:val="·"/>
      <w:lvlJc w:val="left"/>
      <w:pPr>
        <w:ind w:hanging="360" w:left="3600"/>
      </w:pPr>
      <w:rPr>
        <w:rFonts w:ascii="Symbol" w:hAnsi="Symbol"/>
      </w:rPr>
    </w:lvl>
    <w:lvl w:ilvl="5" w:tplc="780D167B">
      <w:start w:val="1"/>
      <w:numFmt w:val="bullet"/>
      <w:suff w:val="tab"/>
      <w:lvlText w:val="o"/>
      <w:lvlJc w:val="left"/>
      <w:pPr>
        <w:ind w:hanging="360" w:left="4320"/>
      </w:pPr>
      <w:rPr>
        <w:rFonts w:ascii="Symbol" w:hAnsi="Symbol"/>
      </w:rPr>
    </w:lvl>
    <w:lvl w:ilvl="6" w:tplc="713229D6">
      <w:start w:val="1"/>
      <w:numFmt w:val="bullet"/>
      <w:suff w:val="tab"/>
      <w:lvlText w:val="·"/>
      <w:lvlJc w:val="left"/>
      <w:pPr>
        <w:ind w:hanging="360" w:left="5040"/>
      </w:pPr>
      <w:rPr>
        <w:rFonts w:ascii="Symbol" w:hAnsi="Symbol"/>
      </w:rPr>
    </w:lvl>
    <w:lvl w:ilvl="7" w:tplc="68298736">
      <w:start w:val="1"/>
      <w:numFmt w:val="bullet"/>
      <w:suff w:val="tab"/>
      <w:lvlText w:val="o"/>
      <w:lvlJc w:val="left"/>
      <w:pPr>
        <w:ind w:hanging="360" w:left="5760"/>
      </w:pPr>
      <w:rPr>
        <w:rFonts w:ascii="Symbol" w:hAnsi="Symbol"/>
      </w:rPr>
    </w:lvl>
    <w:lvl w:ilvl="8" w:tplc="220E250E">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