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7CE5CD3" Type="http://schemas.openxmlformats.org/officeDocument/2006/relationships/officeDocument" Target="/word/document.xml" /><Relationship Id="coreR67CE5CD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710501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Motivation to Quit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item provides either single or multiple item protocols as quantitative measures of a smoker's motivation to quit.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These items assess the respondent's motivation to quit smoking.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Cigarette Smoking Status - Adolescent [30603]</w:t>
              <w:br w:type="textWrapping"/>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Smoking Quit Attempts [71001]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Motivation to Quit - Single Item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Turner, L.R., et al. Motivation and reasons to quit: Predictive validity among adolescent smokers. AM J HEALTH BEHAV, 2004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Smoking quit attempts; quitting smoking; motivation to quit smoking; Motivation; Smoking Cessation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is a single item measuring motivation to quit smoking among those who want to quit smoking.</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Current smoking status must be ascertained before implementing this protocol. Proceed only if subject is a current smoker.</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How motivated are you to quit smoking on a scale where 1 = "not at all motivated" and 10 = "extremely motivated."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single-item assessment of motivation to quit has been shown to be related to cessation success in adults and adolescents. This item is also frequently used to screen smokers for smoking cessation trials.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Turner, L. R., &amp; Mermelstein, R. M. (2004). Motivation and reasons to quit: Predictive validity among adolescent smokers. </w:t>
            </w:r>
            <w:r>
              <w:rPr>
                <w:rFonts w:ascii="Arial" w:hAnsi="Arial"/>
                <w:i w:val="1"/>
                <w:sz w:val="21"/>
              </w:rPr>
              <w:t>American Journal of Health Behavior, 28</w:t>
            </w:r>
            <w:r>
              <w:rPr>
                <w:rFonts w:ascii="Arial" w:hAnsi="Arial"/>
                <w:sz w:val="21"/>
              </w:rPr>
              <w:t>, 542-550.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14 years old to adult.</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Turner, L. R., &amp; Mermelstein, R. (2004). Motivation and reasons to quit: Predictive validity among adolescent smokers. </w:t>
            </w:r>
            <w:r>
              <w:rPr>
                <w:rFonts w:ascii="Arial" w:hAnsi="Arial"/>
                <w:i w:val="1"/>
                <w:sz w:val="21"/>
              </w:rPr>
              <w:t>American Journal of Health Behavior</w:t>
            </w:r>
            <w:r>
              <w:rPr>
                <w:rFonts w:ascii="Arial" w:hAnsi="Arial"/>
                <w:sz w:val="21"/>
              </w:rPr>
              <w:t xml:space="preserve">, </w:t>
            </w:r>
            <w:r>
              <w:rPr>
                <w:rFonts w:ascii="Arial" w:hAnsi="Arial"/>
                <w:i w:val="1"/>
                <w:sz w:val="21"/>
              </w:rPr>
              <w:t>28</w:t>
            </w:r>
            <w:r>
              <w:rPr>
                <w:rFonts w:ascii="Arial" w:hAnsi="Arial"/>
                <w:sz w:val="21"/>
              </w:rPr>
              <w:t>, 385-396.</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