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69"/>
        <w:gridCol w:w="7821"/>
      </w:tblGrid>
      <w:tr w:rsidR="004F0D73">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t>Substance-specific Intermediate Phenotypes</w:t>
            </w:r>
          </w:p>
        </w:tc>
      </w:tr>
      <w:tr w:rsidR="004F0D73">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t>Acute Subjective Response to Substances - Current</w:t>
            </w:r>
          </w:p>
        </w:tc>
      </w:tr>
      <w:tr w:rsidR="004F0D73">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t>Instruments used separately to assess current acute subjective responses to substances that the respondent has recently ingested or used.</w:t>
            </w:r>
          </w:p>
        </w:tc>
      </w:tr>
      <w:tr w:rsidR="004F0D73">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t>This measure is to assess a respondent's feelings after recently smoking cigarettes, ingesting alcohol, or using drugs. The protocol is used to obtain subjective responses to the tobacco, alcohol, or drug administered. The Working Group recommends that investigators use the primary protocol to obtain general information on a variety of substances. The secondary protocols can then be used to obtain detailed information on a specific substance.</w:t>
            </w:r>
          </w:p>
        </w:tc>
      </w:tr>
      <w:tr w:rsidR="004F0D73">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t>Current Age</w:t>
            </w:r>
            <w:r>
              <w:br/>
              <w:t>Alcohol - Lifetime Use</w:t>
            </w:r>
            <w:r>
              <w:br/>
              <w:t>Gender</w:t>
            </w:r>
            <w:r>
              <w:br/>
              <w:t>Substances - Lifetime Use</w:t>
            </w:r>
            <w:r>
              <w:br/>
              <w:t>Tobacco - Smoking Status</w:t>
            </w:r>
          </w:p>
        </w:tc>
      </w:tr>
      <w:tr w:rsidR="004F0D73">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t>Alcohol - 30-Day Quantity and Frequency</w:t>
            </w:r>
            <w:r>
              <w:br/>
              <w:t>Alcohol - Age of First Use</w:t>
            </w:r>
            <w:r>
              <w:br/>
              <w:t>Alcohol - Lifetime Abuse and Dependence</w:t>
            </w:r>
            <w:r>
              <w:br/>
              <w:t>Alcohol - Maximum Drinks in 24 Hours</w:t>
            </w:r>
            <w:r>
              <w:br/>
              <w:t>Substances - 30-Day Frequency</w:t>
            </w:r>
            <w:r>
              <w:br/>
              <w:t>Substances - Age of First Use</w:t>
            </w:r>
            <w:r>
              <w:br/>
              <w:t>Substances - Lifetime Abuse and Dependence</w:t>
            </w:r>
            <w:r>
              <w:br/>
              <w:t>Tobacco - 30-Day Quantity and Frequency</w:t>
            </w:r>
            <w:r>
              <w:br/>
              <w:t>Tobacco - Age of Initiation of Use</w:t>
            </w:r>
            <w:r>
              <w:br/>
              <w:t>Tobacco - Nicotine Dependence</w:t>
            </w:r>
          </w:p>
        </w:tc>
      </w:tr>
      <w:tr w:rsidR="004F0D73">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t>Substance-specific Intermediate Phenotypes</w:t>
            </w:r>
          </w:p>
        </w:tc>
      </w:tr>
      <w:tr w:rsidR="004F0D73">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t>Addiction Research Center Inventory, Adjective Checklist, Alcohol, Amphetamine, ARCI, BAES, Benzedrine, Biphasic Alcohol Effects Scale, Buzz, Cigarettes, Dizziness, DEQ, Drug Effects Questionnaire, Early Response, Irritable, LSD, Marijuana, mCEQ, modified Cigarette Evaluation Questionnaire, Morphine-Benzedrine, National Institute of Mental Health Addiction Research Center, Nausea, Pentobarbital-Chlorpromazine-Alcohol, Rush, SAA, Smoking, Substance Abuse, Substance-specific Intermediate Phenotypes</w:t>
            </w:r>
          </w:p>
        </w:tc>
      </w:tr>
    </w:tbl>
    <w:p w:rsidR="004F0D73" w:rsidRPr="0075381E" w:rsidRDefault="004F0D73">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84"/>
        <w:gridCol w:w="12030"/>
      </w:tblGrid>
      <w:tr w:rsidR="004F0D73">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t>February 24, 2012</w:t>
            </w:r>
          </w:p>
        </w:tc>
      </w:tr>
      <w:tr w:rsidR="004F0D73">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t>Acute Subjective Response to Substances - Current - Specific - Alcohol</w:t>
            </w:r>
          </w:p>
        </w:tc>
      </w:tr>
      <w:tr w:rsidR="004F0D73">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4F0D73" w:rsidRPr="0075381E" w:rsidRDefault="004F0D73">
            <w:pPr>
              <w:pStyle w:val="NormalWeb"/>
            </w:pPr>
            <w:r w:rsidRPr="0075381E">
              <w:t>The Expert Review Panel has not reviewed this measure yet.</w:t>
            </w:r>
          </w:p>
        </w:tc>
      </w:tr>
      <w:tr w:rsidR="004F0D73">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t>The Biphasic Alcohol Effects Scale (BAES) is a self-report, unipolar adjective rating scale after consuming alcohol that is designed to measure both stimulant and sedative effects of alcohol.</w:t>
            </w:r>
          </w:p>
        </w:tc>
      </w:tr>
      <w:tr w:rsidR="004F0D73">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rPr>
                <w:rStyle w:val="Strong"/>
              </w:rPr>
              <w:lastRenderedPageBreak/>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4F0D73" w:rsidRPr="0075381E" w:rsidRDefault="004F0D73">
            <w:pPr>
              <w:pStyle w:val="NormalWeb"/>
            </w:pPr>
            <w:r w:rsidRPr="0075381E">
              <w:t>The BAES may be used in laboratory studies involving alcohol administration to study responses to alcohol. The investigator may administer a fixed dose of alcohol or a placebo to a respondent in the form of a beverage or intravenously, or the investigator may allow the respondent to control the amount of alcohol he/she receives. Typically, baseline assessments are obtained prior to alcohol administration and then at predetermined points following drinking. In fixed-dose studies, the BAES is often repeated at time points corresponding to the rising and falling portions of the blood alcohol curve.</w:t>
            </w:r>
          </w:p>
          <w:p w:rsidR="004F0D73" w:rsidRPr="0075381E" w:rsidRDefault="004F0D73">
            <w:pPr>
              <w:pStyle w:val="NormalWeb"/>
            </w:pPr>
            <w:r w:rsidRPr="0075381E">
              <w:t>The Substance Abuse and Addiction Working Group acknowledges that the following questions may gather sensitive information relating to the use of substances and/or illegal conduct. If the information is released, it might be damaging to an individual's employability, lead to social stigmatization, or lead to other consequences.</w:t>
            </w:r>
          </w:p>
          <w:p w:rsidR="004F0D73" w:rsidRPr="0075381E" w:rsidRDefault="004F0D73">
            <w:pPr>
              <w:pStyle w:val="NormalWeb"/>
            </w:pPr>
            <w:r w:rsidRPr="0075381E">
              <w:t>Most researchers assure confidentiality as part of their informed consent process, as required by their institutional review boards. Further assurance of confidentiality may be obtained by applying to the National Institutes of Health (NIH) for a Certificate of Confidentiality, which helps researchers protect the privacy of human research participants. The procedures for the Certificate of Confidentiality can be found at the Grants Policy website of NIH: http://grants1.nih.gov/grants/policy/coc/index.htm.</w:t>
            </w:r>
          </w:p>
        </w:tc>
      </w:tr>
      <w:tr w:rsidR="004F0D73">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4F0D73" w:rsidRPr="0075381E" w:rsidRDefault="004F0D73">
            <w:pPr>
              <w:pStyle w:val="NormalWeb"/>
            </w:pPr>
            <w:r w:rsidRPr="0075381E">
              <w:rPr>
                <w:i/>
                <w:iCs/>
                <w:u w:val="single"/>
              </w:rPr>
              <w:t>A baseline assessment of how the person feels may be obtained prior to alcohol administration by using the following instructions:</w:t>
            </w:r>
          </w:p>
          <w:p w:rsidR="004F0D73" w:rsidRPr="0075381E" w:rsidRDefault="004F0D73">
            <w:pPr>
              <w:pStyle w:val="NormalWeb"/>
            </w:pPr>
            <w:r w:rsidRPr="0075381E">
              <w:rPr>
                <w:i/>
                <w:iCs/>
              </w:rPr>
              <w:t>Please rate the extent to which these words describe your feelings at the present time (circle the appropriate number for each word).</w:t>
            </w:r>
          </w:p>
          <w:p w:rsidR="004F0D73" w:rsidRPr="0075381E" w:rsidRDefault="004F0D73">
            <w:pPr>
              <w:pStyle w:val="NormalWeb"/>
            </w:pPr>
            <w:r w:rsidRPr="0075381E">
              <w:rPr>
                <w:i/>
                <w:iCs/>
                <w:u w:val="single"/>
              </w:rPr>
              <w:t>To measure responses following alcohol consumption, the following instructions are used:</w:t>
            </w:r>
          </w:p>
          <w:p w:rsidR="004F0D73" w:rsidRPr="0075381E" w:rsidRDefault="004F0D73">
            <w:pPr>
              <w:pStyle w:val="NormalWeb"/>
            </w:pPr>
            <w:r w:rsidRPr="0075381E">
              <w:rPr>
                <w:i/>
                <w:iCs/>
              </w:rPr>
              <w:t>The following adjectives describe feelings that some people have after drinking alcohol. Please rate the extent to which drinking alcohol has produced these feelings in you at the present time (circle the appropriate number for each word).</w:t>
            </w:r>
          </w:p>
          <w:tbl>
            <w:tblPr>
              <w:tblW w:w="12000" w:type="dxa"/>
              <w:tblCellSpacing w:w="15" w:type="dxa"/>
              <w:tblCellMar>
                <w:top w:w="15" w:type="dxa"/>
                <w:left w:w="15" w:type="dxa"/>
                <w:bottom w:w="15" w:type="dxa"/>
                <w:right w:w="15" w:type="dxa"/>
              </w:tblCellMar>
              <w:tblLook w:val="04A0" w:firstRow="1" w:lastRow="0" w:firstColumn="1" w:lastColumn="0" w:noHBand="0" w:noVBand="1"/>
            </w:tblPr>
            <w:tblGrid>
              <w:gridCol w:w="2751"/>
              <w:gridCol w:w="359"/>
              <w:gridCol w:w="806"/>
              <w:gridCol w:w="793"/>
              <w:gridCol w:w="793"/>
              <w:gridCol w:w="793"/>
              <w:gridCol w:w="793"/>
              <w:gridCol w:w="793"/>
              <w:gridCol w:w="793"/>
              <w:gridCol w:w="793"/>
              <w:gridCol w:w="793"/>
              <w:gridCol w:w="580"/>
              <w:gridCol w:w="267"/>
              <w:gridCol w:w="495"/>
              <w:gridCol w:w="398"/>
            </w:tblGrid>
            <w:tr w:rsidR="004F0D73">
              <w:trPr>
                <w:tblCellSpacing w:w="15" w:type="dxa"/>
              </w:trPr>
              <w:tc>
                <w:tcPr>
                  <w:tcW w:w="2880" w:type="dxa"/>
                  <w:vAlign w:val="center"/>
                  <w:hideMark/>
                </w:tcPr>
                <w:p w:rsidR="004F0D73" w:rsidRPr="0075381E" w:rsidRDefault="004F0D73"/>
              </w:tc>
              <w:tc>
                <w:tcPr>
                  <w:tcW w:w="1080" w:type="dxa"/>
                  <w:gridSpan w:val="2"/>
                  <w:vAlign w:val="center"/>
                  <w:hideMark/>
                </w:tcPr>
                <w:p w:rsidR="004F0D73" w:rsidRDefault="004F0D73">
                  <w:r>
                    <w:rPr>
                      <w:u w:val="single"/>
                    </w:rPr>
                    <w:t>Not at all</w:t>
                  </w:r>
                </w:p>
              </w:tc>
              <w:tc>
                <w:tcPr>
                  <w:tcW w:w="840" w:type="dxa"/>
                  <w:vAlign w:val="center"/>
                  <w:hideMark/>
                </w:tcPr>
                <w:p w:rsidR="004F0D73" w:rsidRDefault="004F0D73"/>
              </w:tc>
              <w:tc>
                <w:tcPr>
                  <w:tcW w:w="840" w:type="dxa"/>
                  <w:vAlign w:val="center"/>
                  <w:hideMark/>
                </w:tcPr>
                <w:p w:rsidR="004F0D73" w:rsidRDefault="004F0D73">
                  <w:pPr>
                    <w:rPr>
                      <w:sz w:val="20"/>
                      <w:szCs w:val="20"/>
                    </w:rPr>
                  </w:pPr>
                </w:p>
              </w:tc>
              <w:tc>
                <w:tcPr>
                  <w:tcW w:w="840" w:type="dxa"/>
                  <w:vAlign w:val="center"/>
                  <w:hideMark/>
                </w:tcPr>
                <w:p w:rsidR="004F0D73" w:rsidRDefault="004F0D73">
                  <w:pPr>
                    <w:rPr>
                      <w:sz w:val="20"/>
                      <w:szCs w:val="20"/>
                    </w:rPr>
                  </w:pPr>
                </w:p>
              </w:tc>
              <w:tc>
                <w:tcPr>
                  <w:tcW w:w="840" w:type="dxa"/>
                  <w:vAlign w:val="center"/>
                  <w:hideMark/>
                </w:tcPr>
                <w:p w:rsidR="004F0D73" w:rsidRDefault="004F0D73">
                  <w:pPr>
                    <w:rPr>
                      <w:sz w:val="20"/>
                      <w:szCs w:val="20"/>
                    </w:rPr>
                  </w:pPr>
                </w:p>
              </w:tc>
              <w:tc>
                <w:tcPr>
                  <w:tcW w:w="840" w:type="dxa"/>
                  <w:vAlign w:val="center"/>
                  <w:hideMark/>
                </w:tcPr>
                <w:p w:rsidR="004F0D73" w:rsidRDefault="004F0D73">
                  <w:pPr>
                    <w:rPr>
                      <w:sz w:val="20"/>
                      <w:szCs w:val="20"/>
                    </w:rPr>
                  </w:pPr>
                </w:p>
              </w:tc>
              <w:tc>
                <w:tcPr>
                  <w:tcW w:w="840" w:type="dxa"/>
                  <w:vAlign w:val="center"/>
                  <w:hideMark/>
                </w:tcPr>
                <w:p w:rsidR="004F0D73" w:rsidRDefault="004F0D73">
                  <w:pPr>
                    <w:rPr>
                      <w:sz w:val="20"/>
                      <w:szCs w:val="20"/>
                    </w:rPr>
                  </w:pPr>
                </w:p>
              </w:tc>
              <w:tc>
                <w:tcPr>
                  <w:tcW w:w="840" w:type="dxa"/>
                  <w:vAlign w:val="center"/>
                  <w:hideMark/>
                </w:tcPr>
                <w:p w:rsidR="004F0D73" w:rsidRDefault="004F0D73">
                  <w:pPr>
                    <w:rPr>
                      <w:sz w:val="20"/>
                      <w:szCs w:val="20"/>
                    </w:rPr>
                  </w:pPr>
                </w:p>
              </w:tc>
              <w:tc>
                <w:tcPr>
                  <w:tcW w:w="840" w:type="dxa"/>
                  <w:vAlign w:val="center"/>
                  <w:hideMark/>
                </w:tcPr>
                <w:p w:rsidR="004F0D73" w:rsidRDefault="004F0D73">
                  <w:pPr>
                    <w:rPr>
                      <w:sz w:val="20"/>
                      <w:szCs w:val="20"/>
                    </w:rPr>
                  </w:pPr>
                </w:p>
              </w:tc>
              <w:tc>
                <w:tcPr>
                  <w:tcW w:w="600" w:type="dxa"/>
                  <w:vAlign w:val="center"/>
                  <w:hideMark/>
                </w:tcPr>
                <w:p w:rsidR="004F0D73" w:rsidRDefault="004F0D73">
                  <w:pPr>
                    <w:rPr>
                      <w:sz w:val="20"/>
                      <w:szCs w:val="20"/>
                    </w:rPr>
                  </w:pPr>
                </w:p>
              </w:tc>
              <w:tc>
                <w:tcPr>
                  <w:tcW w:w="720" w:type="dxa"/>
                  <w:gridSpan w:val="3"/>
                  <w:vAlign w:val="center"/>
                  <w:hideMark/>
                </w:tcPr>
                <w:p w:rsidR="004F0D73" w:rsidRDefault="004F0D73">
                  <w:r>
                    <w:rPr>
                      <w:u w:val="single"/>
                    </w:rPr>
                    <w:t>Extremely</w:t>
                  </w:r>
                </w:p>
              </w:tc>
            </w:tr>
            <w:tr w:rsidR="004F0D73">
              <w:trPr>
                <w:tblCellSpacing w:w="15" w:type="dxa"/>
              </w:trPr>
              <w:tc>
                <w:tcPr>
                  <w:tcW w:w="2880" w:type="dxa"/>
                  <w:vAlign w:val="center"/>
                  <w:hideMark/>
                </w:tcPr>
                <w:p w:rsidR="004F0D73" w:rsidRDefault="004F0D73">
                  <w:r>
                    <w:t>1. Difficulty concentrating</w:t>
                  </w:r>
                </w:p>
              </w:tc>
              <w:tc>
                <w:tcPr>
                  <w:tcW w:w="240" w:type="dxa"/>
                  <w:vAlign w:val="center"/>
                  <w:hideMark/>
                </w:tcPr>
                <w:p w:rsidR="004F0D73" w:rsidRDefault="004F0D73"/>
              </w:tc>
              <w:tc>
                <w:tcPr>
                  <w:tcW w:w="840" w:type="dxa"/>
                  <w:vAlign w:val="center"/>
                  <w:hideMark/>
                </w:tcPr>
                <w:p w:rsidR="004F0D73" w:rsidRDefault="004F0D73">
                  <w:r>
                    <w:t>0</w:t>
                  </w:r>
                </w:p>
              </w:tc>
              <w:tc>
                <w:tcPr>
                  <w:tcW w:w="840" w:type="dxa"/>
                  <w:vAlign w:val="center"/>
                  <w:hideMark/>
                </w:tcPr>
                <w:p w:rsidR="004F0D73" w:rsidRDefault="004F0D73">
                  <w:r>
                    <w:t>1</w:t>
                  </w:r>
                </w:p>
              </w:tc>
              <w:tc>
                <w:tcPr>
                  <w:tcW w:w="840" w:type="dxa"/>
                  <w:vAlign w:val="center"/>
                  <w:hideMark/>
                </w:tcPr>
                <w:p w:rsidR="004F0D73" w:rsidRDefault="004F0D73">
                  <w:r>
                    <w:t>2</w:t>
                  </w:r>
                </w:p>
              </w:tc>
              <w:tc>
                <w:tcPr>
                  <w:tcW w:w="840" w:type="dxa"/>
                  <w:vAlign w:val="center"/>
                  <w:hideMark/>
                </w:tcPr>
                <w:p w:rsidR="004F0D73" w:rsidRDefault="004F0D73">
                  <w:r>
                    <w:t>3</w:t>
                  </w:r>
                </w:p>
              </w:tc>
              <w:tc>
                <w:tcPr>
                  <w:tcW w:w="840" w:type="dxa"/>
                  <w:vAlign w:val="center"/>
                  <w:hideMark/>
                </w:tcPr>
                <w:p w:rsidR="004F0D73" w:rsidRDefault="004F0D73">
                  <w:r>
                    <w:t>4</w:t>
                  </w:r>
                </w:p>
              </w:tc>
              <w:tc>
                <w:tcPr>
                  <w:tcW w:w="840" w:type="dxa"/>
                  <w:vAlign w:val="center"/>
                  <w:hideMark/>
                </w:tcPr>
                <w:p w:rsidR="004F0D73" w:rsidRDefault="004F0D73">
                  <w:r>
                    <w:t>5</w:t>
                  </w:r>
                </w:p>
              </w:tc>
              <w:tc>
                <w:tcPr>
                  <w:tcW w:w="840" w:type="dxa"/>
                  <w:vAlign w:val="center"/>
                  <w:hideMark/>
                </w:tcPr>
                <w:p w:rsidR="004F0D73" w:rsidRDefault="004F0D73">
                  <w:r>
                    <w:t>6</w:t>
                  </w:r>
                </w:p>
              </w:tc>
              <w:tc>
                <w:tcPr>
                  <w:tcW w:w="840" w:type="dxa"/>
                  <w:vAlign w:val="center"/>
                  <w:hideMark/>
                </w:tcPr>
                <w:p w:rsidR="004F0D73" w:rsidRDefault="004F0D73">
                  <w:r>
                    <w:t>7</w:t>
                  </w:r>
                </w:p>
              </w:tc>
              <w:tc>
                <w:tcPr>
                  <w:tcW w:w="840" w:type="dxa"/>
                  <w:vAlign w:val="center"/>
                  <w:hideMark/>
                </w:tcPr>
                <w:p w:rsidR="004F0D73" w:rsidRDefault="004F0D73">
                  <w:r>
                    <w:t>8</w:t>
                  </w:r>
                </w:p>
              </w:tc>
              <w:tc>
                <w:tcPr>
                  <w:tcW w:w="600" w:type="dxa"/>
                  <w:vAlign w:val="center"/>
                  <w:hideMark/>
                </w:tcPr>
                <w:p w:rsidR="004F0D73" w:rsidRDefault="004F0D73">
                  <w:r>
                    <w:t>9</w:t>
                  </w:r>
                </w:p>
              </w:tc>
              <w:tc>
                <w:tcPr>
                  <w:tcW w:w="240" w:type="dxa"/>
                  <w:vAlign w:val="center"/>
                  <w:hideMark/>
                </w:tcPr>
                <w:p w:rsidR="004F0D73" w:rsidRDefault="004F0D73"/>
              </w:tc>
              <w:tc>
                <w:tcPr>
                  <w:tcW w:w="120" w:type="dxa"/>
                  <w:vAlign w:val="center"/>
                  <w:hideMark/>
                </w:tcPr>
                <w:p w:rsidR="004F0D73" w:rsidRDefault="004F0D73">
                  <w:r>
                    <w:t>10</w:t>
                  </w:r>
                </w:p>
              </w:tc>
              <w:tc>
                <w:tcPr>
                  <w:tcW w:w="360" w:type="dxa"/>
                  <w:vAlign w:val="center"/>
                  <w:hideMark/>
                </w:tcPr>
                <w:p w:rsidR="004F0D73" w:rsidRDefault="004F0D73"/>
              </w:tc>
            </w:tr>
            <w:tr w:rsidR="004F0D73">
              <w:trPr>
                <w:tblCellSpacing w:w="15" w:type="dxa"/>
              </w:trPr>
              <w:tc>
                <w:tcPr>
                  <w:tcW w:w="2880" w:type="dxa"/>
                  <w:vAlign w:val="center"/>
                  <w:hideMark/>
                </w:tcPr>
                <w:p w:rsidR="004F0D73" w:rsidRDefault="004F0D73">
                  <w:r>
                    <w:t>2. Down</w:t>
                  </w:r>
                </w:p>
              </w:tc>
              <w:tc>
                <w:tcPr>
                  <w:tcW w:w="240" w:type="dxa"/>
                  <w:vAlign w:val="center"/>
                  <w:hideMark/>
                </w:tcPr>
                <w:p w:rsidR="004F0D73" w:rsidRDefault="004F0D73"/>
              </w:tc>
              <w:tc>
                <w:tcPr>
                  <w:tcW w:w="840" w:type="dxa"/>
                  <w:vAlign w:val="center"/>
                  <w:hideMark/>
                </w:tcPr>
                <w:p w:rsidR="004F0D73" w:rsidRDefault="004F0D73">
                  <w:r>
                    <w:t>0</w:t>
                  </w:r>
                </w:p>
              </w:tc>
              <w:tc>
                <w:tcPr>
                  <w:tcW w:w="840" w:type="dxa"/>
                  <w:vAlign w:val="center"/>
                  <w:hideMark/>
                </w:tcPr>
                <w:p w:rsidR="004F0D73" w:rsidRDefault="004F0D73">
                  <w:r>
                    <w:t>1</w:t>
                  </w:r>
                </w:p>
              </w:tc>
              <w:tc>
                <w:tcPr>
                  <w:tcW w:w="840" w:type="dxa"/>
                  <w:vAlign w:val="center"/>
                  <w:hideMark/>
                </w:tcPr>
                <w:p w:rsidR="004F0D73" w:rsidRDefault="004F0D73">
                  <w:r>
                    <w:t>2</w:t>
                  </w:r>
                </w:p>
              </w:tc>
              <w:tc>
                <w:tcPr>
                  <w:tcW w:w="840" w:type="dxa"/>
                  <w:vAlign w:val="center"/>
                  <w:hideMark/>
                </w:tcPr>
                <w:p w:rsidR="004F0D73" w:rsidRDefault="004F0D73">
                  <w:r>
                    <w:t>3</w:t>
                  </w:r>
                </w:p>
              </w:tc>
              <w:tc>
                <w:tcPr>
                  <w:tcW w:w="840" w:type="dxa"/>
                  <w:vAlign w:val="center"/>
                  <w:hideMark/>
                </w:tcPr>
                <w:p w:rsidR="004F0D73" w:rsidRDefault="004F0D73">
                  <w:r>
                    <w:t>4</w:t>
                  </w:r>
                </w:p>
              </w:tc>
              <w:tc>
                <w:tcPr>
                  <w:tcW w:w="840" w:type="dxa"/>
                  <w:vAlign w:val="center"/>
                  <w:hideMark/>
                </w:tcPr>
                <w:p w:rsidR="004F0D73" w:rsidRDefault="004F0D73">
                  <w:r>
                    <w:t>5</w:t>
                  </w:r>
                </w:p>
              </w:tc>
              <w:tc>
                <w:tcPr>
                  <w:tcW w:w="840" w:type="dxa"/>
                  <w:vAlign w:val="center"/>
                  <w:hideMark/>
                </w:tcPr>
                <w:p w:rsidR="004F0D73" w:rsidRDefault="004F0D73">
                  <w:r>
                    <w:t>6</w:t>
                  </w:r>
                </w:p>
              </w:tc>
              <w:tc>
                <w:tcPr>
                  <w:tcW w:w="840" w:type="dxa"/>
                  <w:vAlign w:val="center"/>
                  <w:hideMark/>
                </w:tcPr>
                <w:p w:rsidR="004F0D73" w:rsidRDefault="004F0D73">
                  <w:r>
                    <w:t>7</w:t>
                  </w:r>
                </w:p>
              </w:tc>
              <w:tc>
                <w:tcPr>
                  <w:tcW w:w="840" w:type="dxa"/>
                  <w:vAlign w:val="center"/>
                  <w:hideMark/>
                </w:tcPr>
                <w:p w:rsidR="004F0D73" w:rsidRDefault="004F0D73">
                  <w:r>
                    <w:t>8</w:t>
                  </w:r>
                </w:p>
              </w:tc>
              <w:tc>
                <w:tcPr>
                  <w:tcW w:w="600" w:type="dxa"/>
                  <w:vAlign w:val="center"/>
                  <w:hideMark/>
                </w:tcPr>
                <w:p w:rsidR="004F0D73" w:rsidRDefault="004F0D73">
                  <w:r>
                    <w:t>9</w:t>
                  </w:r>
                </w:p>
              </w:tc>
              <w:tc>
                <w:tcPr>
                  <w:tcW w:w="240" w:type="dxa"/>
                  <w:vAlign w:val="center"/>
                  <w:hideMark/>
                </w:tcPr>
                <w:p w:rsidR="004F0D73" w:rsidRDefault="004F0D73"/>
              </w:tc>
              <w:tc>
                <w:tcPr>
                  <w:tcW w:w="120" w:type="dxa"/>
                  <w:vAlign w:val="center"/>
                  <w:hideMark/>
                </w:tcPr>
                <w:p w:rsidR="004F0D73" w:rsidRDefault="004F0D73">
                  <w:r>
                    <w:t>10</w:t>
                  </w:r>
                </w:p>
              </w:tc>
              <w:tc>
                <w:tcPr>
                  <w:tcW w:w="360" w:type="dxa"/>
                  <w:vAlign w:val="center"/>
                  <w:hideMark/>
                </w:tcPr>
                <w:p w:rsidR="004F0D73" w:rsidRDefault="004F0D73"/>
              </w:tc>
            </w:tr>
            <w:tr w:rsidR="004F0D73">
              <w:trPr>
                <w:tblCellSpacing w:w="15" w:type="dxa"/>
              </w:trPr>
              <w:tc>
                <w:tcPr>
                  <w:tcW w:w="2880" w:type="dxa"/>
                  <w:vAlign w:val="center"/>
                  <w:hideMark/>
                </w:tcPr>
                <w:p w:rsidR="004F0D73" w:rsidRDefault="004F0D73">
                  <w:r>
                    <w:t>3. Elated</w:t>
                  </w:r>
                </w:p>
              </w:tc>
              <w:tc>
                <w:tcPr>
                  <w:tcW w:w="240" w:type="dxa"/>
                  <w:vAlign w:val="center"/>
                  <w:hideMark/>
                </w:tcPr>
                <w:p w:rsidR="004F0D73" w:rsidRDefault="004F0D73"/>
              </w:tc>
              <w:tc>
                <w:tcPr>
                  <w:tcW w:w="840" w:type="dxa"/>
                  <w:vAlign w:val="center"/>
                  <w:hideMark/>
                </w:tcPr>
                <w:p w:rsidR="004F0D73" w:rsidRDefault="004F0D73">
                  <w:r>
                    <w:t>0</w:t>
                  </w:r>
                </w:p>
              </w:tc>
              <w:tc>
                <w:tcPr>
                  <w:tcW w:w="840" w:type="dxa"/>
                  <w:vAlign w:val="center"/>
                  <w:hideMark/>
                </w:tcPr>
                <w:p w:rsidR="004F0D73" w:rsidRDefault="004F0D73">
                  <w:r>
                    <w:t>1</w:t>
                  </w:r>
                </w:p>
              </w:tc>
              <w:tc>
                <w:tcPr>
                  <w:tcW w:w="840" w:type="dxa"/>
                  <w:vAlign w:val="center"/>
                  <w:hideMark/>
                </w:tcPr>
                <w:p w:rsidR="004F0D73" w:rsidRDefault="004F0D73">
                  <w:r>
                    <w:t>2</w:t>
                  </w:r>
                </w:p>
              </w:tc>
              <w:tc>
                <w:tcPr>
                  <w:tcW w:w="840" w:type="dxa"/>
                  <w:vAlign w:val="center"/>
                  <w:hideMark/>
                </w:tcPr>
                <w:p w:rsidR="004F0D73" w:rsidRDefault="004F0D73">
                  <w:r>
                    <w:t>3</w:t>
                  </w:r>
                </w:p>
              </w:tc>
              <w:tc>
                <w:tcPr>
                  <w:tcW w:w="840" w:type="dxa"/>
                  <w:vAlign w:val="center"/>
                  <w:hideMark/>
                </w:tcPr>
                <w:p w:rsidR="004F0D73" w:rsidRDefault="004F0D73">
                  <w:r>
                    <w:t>4</w:t>
                  </w:r>
                </w:p>
              </w:tc>
              <w:tc>
                <w:tcPr>
                  <w:tcW w:w="840" w:type="dxa"/>
                  <w:vAlign w:val="center"/>
                  <w:hideMark/>
                </w:tcPr>
                <w:p w:rsidR="004F0D73" w:rsidRDefault="004F0D73">
                  <w:r>
                    <w:t>5</w:t>
                  </w:r>
                </w:p>
              </w:tc>
              <w:tc>
                <w:tcPr>
                  <w:tcW w:w="840" w:type="dxa"/>
                  <w:vAlign w:val="center"/>
                  <w:hideMark/>
                </w:tcPr>
                <w:p w:rsidR="004F0D73" w:rsidRDefault="004F0D73">
                  <w:r>
                    <w:t>6</w:t>
                  </w:r>
                </w:p>
              </w:tc>
              <w:tc>
                <w:tcPr>
                  <w:tcW w:w="840" w:type="dxa"/>
                  <w:vAlign w:val="center"/>
                  <w:hideMark/>
                </w:tcPr>
                <w:p w:rsidR="004F0D73" w:rsidRDefault="004F0D73">
                  <w:r>
                    <w:t>7</w:t>
                  </w:r>
                </w:p>
              </w:tc>
              <w:tc>
                <w:tcPr>
                  <w:tcW w:w="840" w:type="dxa"/>
                  <w:vAlign w:val="center"/>
                  <w:hideMark/>
                </w:tcPr>
                <w:p w:rsidR="004F0D73" w:rsidRDefault="004F0D73">
                  <w:r>
                    <w:t>8</w:t>
                  </w:r>
                </w:p>
              </w:tc>
              <w:tc>
                <w:tcPr>
                  <w:tcW w:w="600" w:type="dxa"/>
                  <w:vAlign w:val="center"/>
                  <w:hideMark/>
                </w:tcPr>
                <w:p w:rsidR="004F0D73" w:rsidRDefault="004F0D73">
                  <w:r>
                    <w:t>9</w:t>
                  </w:r>
                </w:p>
              </w:tc>
              <w:tc>
                <w:tcPr>
                  <w:tcW w:w="240" w:type="dxa"/>
                  <w:vAlign w:val="center"/>
                  <w:hideMark/>
                </w:tcPr>
                <w:p w:rsidR="004F0D73" w:rsidRDefault="004F0D73"/>
              </w:tc>
              <w:tc>
                <w:tcPr>
                  <w:tcW w:w="120" w:type="dxa"/>
                  <w:vAlign w:val="center"/>
                  <w:hideMark/>
                </w:tcPr>
                <w:p w:rsidR="004F0D73" w:rsidRDefault="004F0D73">
                  <w:r>
                    <w:t>10</w:t>
                  </w:r>
                </w:p>
              </w:tc>
              <w:tc>
                <w:tcPr>
                  <w:tcW w:w="360" w:type="dxa"/>
                  <w:vAlign w:val="center"/>
                  <w:hideMark/>
                </w:tcPr>
                <w:p w:rsidR="004F0D73" w:rsidRDefault="004F0D73"/>
              </w:tc>
            </w:tr>
            <w:tr w:rsidR="004F0D73">
              <w:trPr>
                <w:tblCellSpacing w:w="15" w:type="dxa"/>
              </w:trPr>
              <w:tc>
                <w:tcPr>
                  <w:tcW w:w="2880" w:type="dxa"/>
                  <w:vAlign w:val="center"/>
                  <w:hideMark/>
                </w:tcPr>
                <w:p w:rsidR="004F0D73" w:rsidRDefault="004F0D73">
                  <w:r>
                    <w:t>4. Energized</w:t>
                  </w:r>
                </w:p>
              </w:tc>
              <w:tc>
                <w:tcPr>
                  <w:tcW w:w="240" w:type="dxa"/>
                  <w:vAlign w:val="center"/>
                  <w:hideMark/>
                </w:tcPr>
                <w:p w:rsidR="004F0D73" w:rsidRDefault="004F0D73"/>
              </w:tc>
              <w:tc>
                <w:tcPr>
                  <w:tcW w:w="840" w:type="dxa"/>
                  <w:vAlign w:val="center"/>
                  <w:hideMark/>
                </w:tcPr>
                <w:p w:rsidR="004F0D73" w:rsidRDefault="004F0D73">
                  <w:r>
                    <w:t>0</w:t>
                  </w:r>
                </w:p>
              </w:tc>
              <w:tc>
                <w:tcPr>
                  <w:tcW w:w="840" w:type="dxa"/>
                  <w:vAlign w:val="center"/>
                  <w:hideMark/>
                </w:tcPr>
                <w:p w:rsidR="004F0D73" w:rsidRDefault="004F0D73">
                  <w:r>
                    <w:t>1</w:t>
                  </w:r>
                </w:p>
              </w:tc>
              <w:tc>
                <w:tcPr>
                  <w:tcW w:w="840" w:type="dxa"/>
                  <w:vAlign w:val="center"/>
                  <w:hideMark/>
                </w:tcPr>
                <w:p w:rsidR="004F0D73" w:rsidRDefault="004F0D73">
                  <w:r>
                    <w:t>2</w:t>
                  </w:r>
                </w:p>
              </w:tc>
              <w:tc>
                <w:tcPr>
                  <w:tcW w:w="840" w:type="dxa"/>
                  <w:vAlign w:val="center"/>
                  <w:hideMark/>
                </w:tcPr>
                <w:p w:rsidR="004F0D73" w:rsidRDefault="004F0D73">
                  <w:r>
                    <w:t>3</w:t>
                  </w:r>
                </w:p>
              </w:tc>
              <w:tc>
                <w:tcPr>
                  <w:tcW w:w="840" w:type="dxa"/>
                  <w:vAlign w:val="center"/>
                  <w:hideMark/>
                </w:tcPr>
                <w:p w:rsidR="004F0D73" w:rsidRDefault="004F0D73">
                  <w:r>
                    <w:t>4</w:t>
                  </w:r>
                </w:p>
              </w:tc>
              <w:tc>
                <w:tcPr>
                  <w:tcW w:w="840" w:type="dxa"/>
                  <w:vAlign w:val="center"/>
                  <w:hideMark/>
                </w:tcPr>
                <w:p w:rsidR="004F0D73" w:rsidRDefault="004F0D73">
                  <w:r>
                    <w:t>5</w:t>
                  </w:r>
                </w:p>
              </w:tc>
              <w:tc>
                <w:tcPr>
                  <w:tcW w:w="840" w:type="dxa"/>
                  <w:vAlign w:val="center"/>
                  <w:hideMark/>
                </w:tcPr>
                <w:p w:rsidR="004F0D73" w:rsidRDefault="004F0D73">
                  <w:r>
                    <w:t>6</w:t>
                  </w:r>
                </w:p>
              </w:tc>
              <w:tc>
                <w:tcPr>
                  <w:tcW w:w="840" w:type="dxa"/>
                  <w:vAlign w:val="center"/>
                  <w:hideMark/>
                </w:tcPr>
                <w:p w:rsidR="004F0D73" w:rsidRDefault="004F0D73">
                  <w:r>
                    <w:t>7</w:t>
                  </w:r>
                </w:p>
              </w:tc>
              <w:tc>
                <w:tcPr>
                  <w:tcW w:w="840" w:type="dxa"/>
                  <w:vAlign w:val="center"/>
                  <w:hideMark/>
                </w:tcPr>
                <w:p w:rsidR="004F0D73" w:rsidRDefault="004F0D73">
                  <w:r>
                    <w:t>8</w:t>
                  </w:r>
                </w:p>
              </w:tc>
              <w:tc>
                <w:tcPr>
                  <w:tcW w:w="600" w:type="dxa"/>
                  <w:vAlign w:val="center"/>
                  <w:hideMark/>
                </w:tcPr>
                <w:p w:rsidR="004F0D73" w:rsidRDefault="004F0D73">
                  <w:r>
                    <w:t>9</w:t>
                  </w:r>
                </w:p>
              </w:tc>
              <w:tc>
                <w:tcPr>
                  <w:tcW w:w="240" w:type="dxa"/>
                  <w:vAlign w:val="center"/>
                  <w:hideMark/>
                </w:tcPr>
                <w:p w:rsidR="004F0D73" w:rsidRDefault="004F0D73"/>
              </w:tc>
              <w:tc>
                <w:tcPr>
                  <w:tcW w:w="120" w:type="dxa"/>
                  <w:vAlign w:val="center"/>
                  <w:hideMark/>
                </w:tcPr>
                <w:p w:rsidR="004F0D73" w:rsidRDefault="004F0D73">
                  <w:r>
                    <w:t>10</w:t>
                  </w:r>
                </w:p>
              </w:tc>
              <w:tc>
                <w:tcPr>
                  <w:tcW w:w="360" w:type="dxa"/>
                  <w:vAlign w:val="center"/>
                  <w:hideMark/>
                </w:tcPr>
                <w:p w:rsidR="004F0D73" w:rsidRDefault="004F0D73"/>
              </w:tc>
            </w:tr>
            <w:tr w:rsidR="004F0D73">
              <w:trPr>
                <w:tblCellSpacing w:w="15" w:type="dxa"/>
              </w:trPr>
              <w:tc>
                <w:tcPr>
                  <w:tcW w:w="2880" w:type="dxa"/>
                  <w:vAlign w:val="center"/>
                  <w:hideMark/>
                </w:tcPr>
                <w:p w:rsidR="004F0D73" w:rsidRDefault="004F0D73">
                  <w:r>
                    <w:t>5. Excited</w:t>
                  </w:r>
                </w:p>
              </w:tc>
              <w:tc>
                <w:tcPr>
                  <w:tcW w:w="240" w:type="dxa"/>
                  <w:vAlign w:val="center"/>
                  <w:hideMark/>
                </w:tcPr>
                <w:p w:rsidR="004F0D73" w:rsidRDefault="004F0D73"/>
              </w:tc>
              <w:tc>
                <w:tcPr>
                  <w:tcW w:w="840" w:type="dxa"/>
                  <w:vAlign w:val="center"/>
                  <w:hideMark/>
                </w:tcPr>
                <w:p w:rsidR="004F0D73" w:rsidRDefault="004F0D73">
                  <w:r>
                    <w:t>0</w:t>
                  </w:r>
                </w:p>
              </w:tc>
              <w:tc>
                <w:tcPr>
                  <w:tcW w:w="840" w:type="dxa"/>
                  <w:vAlign w:val="center"/>
                  <w:hideMark/>
                </w:tcPr>
                <w:p w:rsidR="004F0D73" w:rsidRDefault="004F0D73">
                  <w:r>
                    <w:t>1</w:t>
                  </w:r>
                </w:p>
              </w:tc>
              <w:tc>
                <w:tcPr>
                  <w:tcW w:w="840" w:type="dxa"/>
                  <w:vAlign w:val="center"/>
                  <w:hideMark/>
                </w:tcPr>
                <w:p w:rsidR="004F0D73" w:rsidRDefault="004F0D73">
                  <w:r>
                    <w:t>2</w:t>
                  </w:r>
                </w:p>
              </w:tc>
              <w:tc>
                <w:tcPr>
                  <w:tcW w:w="840" w:type="dxa"/>
                  <w:vAlign w:val="center"/>
                  <w:hideMark/>
                </w:tcPr>
                <w:p w:rsidR="004F0D73" w:rsidRDefault="004F0D73">
                  <w:r>
                    <w:t>3</w:t>
                  </w:r>
                </w:p>
              </w:tc>
              <w:tc>
                <w:tcPr>
                  <w:tcW w:w="840" w:type="dxa"/>
                  <w:vAlign w:val="center"/>
                  <w:hideMark/>
                </w:tcPr>
                <w:p w:rsidR="004F0D73" w:rsidRDefault="004F0D73">
                  <w:r>
                    <w:t>4</w:t>
                  </w:r>
                </w:p>
              </w:tc>
              <w:tc>
                <w:tcPr>
                  <w:tcW w:w="840" w:type="dxa"/>
                  <w:vAlign w:val="center"/>
                  <w:hideMark/>
                </w:tcPr>
                <w:p w:rsidR="004F0D73" w:rsidRDefault="004F0D73">
                  <w:r>
                    <w:t>5</w:t>
                  </w:r>
                </w:p>
              </w:tc>
              <w:tc>
                <w:tcPr>
                  <w:tcW w:w="840" w:type="dxa"/>
                  <w:vAlign w:val="center"/>
                  <w:hideMark/>
                </w:tcPr>
                <w:p w:rsidR="004F0D73" w:rsidRDefault="004F0D73">
                  <w:r>
                    <w:t>6</w:t>
                  </w:r>
                </w:p>
              </w:tc>
              <w:tc>
                <w:tcPr>
                  <w:tcW w:w="840" w:type="dxa"/>
                  <w:vAlign w:val="center"/>
                  <w:hideMark/>
                </w:tcPr>
                <w:p w:rsidR="004F0D73" w:rsidRDefault="004F0D73">
                  <w:r>
                    <w:t>7</w:t>
                  </w:r>
                </w:p>
              </w:tc>
              <w:tc>
                <w:tcPr>
                  <w:tcW w:w="840" w:type="dxa"/>
                  <w:vAlign w:val="center"/>
                  <w:hideMark/>
                </w:tcPr>
                <w:p w:rsidR="004F0D73" w:rsidRDefault="004F0D73">
                  <w:r>
                    <w:t>8</w:t>
                  </w:r>
                </w:p>
              </w:tc>
              <w:tc>
                <w:tcPr>
                  <w:tcW w:w="600" w:type="dxa"/>
                  <w:vAlign w:val="center"/>
                  <w:hideMark/>
                </w:tcPr>
                <w:p w:rsidR="004F0D73" w:rsidRDefault="004F0D73">
                  <w:r>
                    <w:t>9</w:t>
                  </w:r>
                </w:p>
              </w:tc>
              <w:tc>
                <w:tcPr>
                  <w:tcW w:w="240" w:type="dxa"/>
                  <w:vAlign w:val="center"/>
                  <w:hideMark/>
                </w:tcPr>
                <w:p w:rsidR="004F0D73" w:rsidRDefault="004F0D73"/>
              </w:tc>
              <w:tc>
                <w:tcPr>
                  <w:tcW w:w="120" w:type="dxa"/>
                  <w:vAlign w:val="center"/>
                  <w:hideMark/>
                </w:tcPr>
                <w:p w:rsidR="004F0D73" w:rsidRDefault="004F0D73">
                  <w:r>
                    <w:t>10</w:t>
                  </w:r>
                </w:p>
              </w:tc>
              <w:tc>
                <w:tcPr>
                  <w:tcW w:w="360" w:type="dxa"/>
                  <w:vAlign w:val="center"/>
                  <w:hideMark/>
                </w:tcPr>
                <w:p w:rsidR="004F0D73" w:rsidRDefault="004F0D73"/>
              </w:tc>
            </w:tr>
            <w:tr w:rsidR="004F0D73">
              <w:trPr>
                <w:tblCellSpacing w:w="15" w:type="dxa"/>
              </w:trPr>
              <w:tc>
                <w:tcPr>
                  <w:tcW w:w="2880" w:type="dxa"/>
                  <w:vAlign w:val="center"/>
                  <w:hideMark/>
                </w:tcPr>
                <w:p w:rsidR="004F0D73" w:rsidRDefault="004F0D73">
                  <w:r>
                    <w:t>6. Heavy head</w:t>
                  </w:r>
                </w:p>
              </w:tc>
              <w:tc>
                <w:tcPr>
                  <w:tcW w:w="240" w:type="dxa"/>
                  <w:vAlign w:val="center"/>
                  <w:hideMark/>
                </w:tcPr>
                <w:p w:rsidR="004F0D73" w:rsidRDefault="004F0D73"/>
              </w:tc>
              <w:tc>
                <w:tcPr>
                  <w:tcW w:w="840" w:type="dxa"/>
                  <w:vAlign w:val="center"/>
                  <w:hideMark/>
                </w:tcPr>
                <w:p w:rsidR="004F0D73" w:rsidRDefault="004F0D73">
                  <w:r>
                    <w:t>0</w:t>
                  </w:r>
                </w:p>
              </w:tc>
              <w:tc>
                <w:tcPr>
                  <w:tcW w:w="840" w:type="dxa"/>
                  <w:vAlign w:val="center"/>
                  <w:hideMark/>
                </w:tcPr>
                <w:p w:rsidR="004F0D73" w:rsidRDefault="004F0D73">
                  <w:r>
                    <w:t>1</w:t>
                  </w:r>
                </w:p>
              </w:tc>
              <w:tc>
                <w:tcPr>
                  <w:tcW w:w="840" w:type="dxa"/>
                  <w:vAlign w:val="center"/>
                  <w:hideMark/>
                </w:tcPr>
                <w:p w:rsidR="004F0D73" w:rsidRDefault="004F0D73">
                  <w:r>
                    <w:t>2</w:t>
                  </w:r>
                </w:p>
              </w:tc>
              <w:tc>
                <w:tcPr>
                  <w:tcW w:w="840" w:type="dxa"/>
                  <w:vAlign w:val="center"/>
                  <w:hideMark/>
                </w:tcPr>
                <w:p w:rsidR="004F0D73" w:rsidRDefault="004F0D73">
                  <w:r>
                    <w:t>3</w:t>
                  </w:r>
                </w:p>
              </w:tc>
              <w:tc>
                <w:tcPr>
                  <w:tcW w:w="840" w:type="dxa"/>
                  <w:vAlign w:val="center"/>
                  <w:hideMark/>
                </w:tcPr>
                <w:p w:rsidR="004F0D73" w:rsidRDefault="004F0D73">
                  <w:r>
                    <w:t>4</w:t>
                  </w:r>
                </w:p>
              </w:tc>
              <w:tc>
                <w:tcPr>
                  <w:tcW w:w="840" w:type="dxa"/>
                  <w:vAlign w:val="center"/>
                  <w:hideMark/>
                </w:tcPr>
                <w:p w:rsidR="004F0D73" w:rsidRDefault="004F0D73">
                  <w:r>
                    <w:t>5</w:t>
                  </w:r>
                </w:p>
              </w:tc>
              <w:tc>
                <w:tcPr>
                  <w:tcW w:w="840" w:type="dxa"/>
                  <w:vAlign w:val="center"/>
                  <w:hideMark/>
                </w:tcPr>
                <w:p w:rsidR="004F0D73" w:rsidRDefault="004F0D73">
                  <w:r>
                    <w:t>6</w:t>
                  </w:r>
                </w:p>
              </w:tc>
              <w:tc>
                <w:tcPr>
                  <w:tcW w:w="840" w:type="dxa"/>
                  <w:vAlign w:val="center"/>
                  <w:hideMark/>
                </w:tcPr>
                <w:p w:rsidR="004F0D73" w:rsidRDefault="004F0D73">
                  <w:r>
                    <w:t>7</w:t>
                  </w:r>
                </w:p>
              </w:tc>
              <w:tc>
                <w:tcPr>
                  <w:tcW w:w="840" w:type="dxa"/>
                  <w:vAlign w:val="center"/>
                  <w:hideMark/>
                </w:tcPr>
                <w:p w:rsidR="004F0D73" w:rsidRDefault="004F0D73">
                  <w:r>
                    <w:t>8</w:t>
                  </w:r>
                </w:p>
              </w:tc>
              <w:tc>
                <w:tcPr>
                  <w:tcW w:w="600" w:type="dxa"/>
                  <w:vAlign w:val="center"/>
                  <w:hideMark/>
                </w:tcPr>
                <w:p w:rsidR="004F0D73" w:rsidRDefault="004F0D73">
                  <w:r>
                    <w:t>9</w:t>
                  </w:r>
                </w:p>
              </w:tc>
              <w:tc>
                <w:tcPr>
                  <w:tcW w:w="240" w:type="dxa"/>
                  <w:vAlign w:val="center"/>
                  <w:hideMark/>
                </w:tcPr>
                <w:p w:rsidR="004F0D73" w:rsidRDefault="004F0D73"/>
              </w:tc>
              <w:tc>
                <w:tcPr>
                  <w:tcW w:w="120" w:type="dxa"/>
                  <w:vAlign w:val="center"/>
                  <w:hideMark/>
                </w:tcPr>
                <w:p w:rsidR="004F0D73" w:rsidRDefault="004F0D73">
                  <w:r>
                    <w:t>10</w:t>
                  </w:r>
                </w:p>
              </w:tc>
              <w:tc>
                <w:tcPr>
                  <w:tcW w:w="360" w:type="dxa"/>
                  <w:vAlign w:val="center"/>
                  <w:hideMark/>
                </w:tcPr>
                <w:p w:rsidR="004F0D73" w:rsidRDefault="004F0D73"/>
              </w:tc>
            </w:tr>
            <w:tr w:rsidR="004F0D73">
              <w:trPr>
                <w:tblCellSpacing w:w="15" w:type="dxa"/>
              </w:trPr>
              <w:tc>
                <w:tcPr>
                  <w:tcW w:w="2880" w:type="dxa"/>
                  <w:vAlign w:val="center"/>
                  <w:hideMark/>
                </w:tcPr>
                <w:p w:rsidR="004F0D73" w:rsidRDefault="004F0D73">
                  <w:r>
                    <w:t>7. Inactive</w:t>
                  </w:r>
                </w:p>
              </w:tc>
              <w:tc>
                <w:tcPr>
                  <w:tcW w:w="240" w:type="dxa"/>
                  <w:vAlign w:val="center"/>
                  <w:hideMark/>
                </w:tcPr>
                <w:p w:rsidR="004F0D73" w:rsidRDefault="004F0D73"/>
              </w:tc>
              <w:tc>
                <w:tcPr>
                  <w:tcW w:w="840" w:type="dxa"/>
                  <w:vAlign w:val="center"/>
                  <w:hideMark/>
                </w:tcPr>
                <w:p w:rsidR="004F0D73" w:rsidRDefault="004F0D73">
                  <w:r>
                    <w:t>0</w:t>
                  </w:r>
                </w:p>
              </w:tc>
              <w:tc>
                <w:tcPr>
                  <w:tcW w:w="840" w:type="dxa"/>
                  <w:vAlign w:val="center"/>
                  <w:hideMark/>
                </w:tcPr>
                <w:p w:rsidR="004F0D73" w:rsidRDefault="004F0D73">
                  <w:r>
                    <w:t>1</w:t>
                  </w:r>
                </w:p>
              </w:tc>
              <w:tc>
                <w:tcPr>
                  <w:tcW w:w="840" w:type="dxa"/>
                  <w:vAlign w:val="center"/>
                  <w:hideMark/>
                </w:tcPr>
                <w:p w:rsidR="004F0D73" w:rsidRDefault="004F0D73">
                  <w:r>
                    <w:t>2</w:t>
                  </w:r>
                </w:p>
              </w:tc>
              <w:tc>
                <w:tcPr>
                  <w:tcW w:w="840" w:type="dxa"/>
                  <w:vAlign w:val="center"/>
                  <w:hideMark/>
                </w:tcPr>
                <w:p w:rsidR="004F0D73" w:rsidRDefault="004F0D73">
                  <w:r>
                    <w:t>3</w:t>
                  </w:r>
                </w:p>
              </w:tc>
              <w:tc>
                <w:tcPr>
                  <w:tcW w:w="840" w:type="dxa"/>
                  <w:vAlign w:val="center"/>
                  <w:hideMark/>
                </w:tcPr>
                <w:p w:rsidR="004F0D73" w:rsidRDefault="004F0D73">
                  <w:r>
                    <w:t>4</w:t>
                  </w:r>
                </w:p>
              </w:tc>
              <w:tc>
                <w:tcPr>
                  <w:tcW w:w="840" w:type="dxa"/>
                  <w:vAlign w:val="center"/>
                  <w:hideMark/>
                </w:tcPr>
                <w:p w:rsidR="004F0D73" w:rsidRDefault="004F0D73">
                  <w:r>
                    <w:t>5</w:t>
                  </w:r>
                </w:p>
              </w:tc>
              <w:tc>
                <w:tcPr>
                  <w:tcW w:w="840" w:type="dxa"/>
                  <w:vAlign w:val="center"/>
                  <w:hideMark/>
                </w:tcPr>
                <w:p w:rsidR="004F0D73" w:rsidRDefault="004F0D73">
                  <w:r>
                    <w:t>6</w:t>
                  </w:r>
                </w:p>
              </w:tc>
              <w:tc>
                <w:tcPr>
                  <w:tcW w:w="840" w:type="dxa"/>
                  <w:vAlign w:val="center"/>
                  <w:hideMark/>
                </w:tcPr>
                <w:p w:rsidR="004F0D73" w:rsidRDefault="004F0D73">
                  <w:r>
                    <w:t>7</w:t>
                  </w:r>
                </w:p>
              </w:tc>
              <w:tc>
                <w:tcPr>
                  <w:tcW w:w="840" w:type="dxa"/>
                  <w:vAlign w:val="center"/>
                  <w:hideMark/>
                </w:tcPr>
                <w:p w:rsidR="004F0D73" w:rsidRDefault="004F0D73">
                  <w:r>
                    <w:t>8</w:t>
                  </w:r>
                </w:p>
              </w:tc>
              <w:tc>
                <w:tcPr>
                  <w:tcW w:w="600" w:type="dxa"/>
                  <w:vAlign w:val="center"/>
                  <w:hideMark/>
                </w:tcPr>
                <w:p w:rsidR="004F0D73" w:rsidRDefault="004F0D73">
                  <w:r>
                    <w:t>9</w:t>
                  </w:r>
                </w:p>
              </w:tc>
              <w:tc>
                <w:tcPr>
                  <w:tcW w:w="240" w:type="dxa"/>
                  <w:vAlign w:val="center"/>
                  <w:hideMark/>
                </w:tcPr>
                <w:p w:rsidR="004F0D73" w:rsidRDefault="004F0D73"/>
              </w:tc>
              <w:tc>
                <w:tcPr>
                  <w:tcW w:w="120" w:type="dxa"/>
                  <w:vAlign w:val="center"/>
                  <w:hideMark/>
                </w:tcPr>
                <w:p w:rsidR="004F0D73" w:rsidRDefault="004F0D73">
                  <w:r>
                    <w:t>10</w:t>
                  </w:r>
                </w:p>
              </w:tc>
              <w:tc>
                <w:tcPr>
                  <w:tcW w:w="240" w:type="dxa"/>
                  <w:vAlign w:val="center"/>
                  <w:hideMark/>
                </w:tcPr>
                <w:p w:rsidR="004F0D73" w:rsidRDefault="004F0D73"/>
              </w:tc>
            </w:tr>
            <w:tr w:rsidR="004F0D73">
              <w:trPr>
                <w:tblCellSpacing w:w="15" w:type="dxa"/>
              </w:trPr>
              <w:tc>
                <w:tcPr>
                  <w:tcW w:w="2880" w:type="dxa"/>
                  <w:vAlign w:val="center"/>
                  <w:hideMark/>
                </w:tcPr>
                <w:p w:rsidR="004F0D73" w:rsidRDefault="004F0D73">
                  <w:r>
                    <w:t>8. Sedated</w:t>
                  </w:r>
                </w:p>
              </w:tc>
              <w:tc>
                <w:tcPr>
                  <w:tcW w:w="360" w:type="dxa"/>
                  <w:vAlign w:val="center"/>
                  <w:hideMark/>
                </w:tcPr>
                <w:p w:rsidR="004F0D73" w:rsidRDefault="004F0D73"/>
              </w:tc>
              <w:tc>
                <w:tcPr>
                  <w:tcW w:w="840" w:type="dxa"/>
                  <w:vAlign w:val="center"/>
                  <w:hideMark/>
                </w:tcPr>
                <w:p w:rsidR="004F0D73" w:rsidRDefault="004F0D73">
                  <w:r>
                    <w:t>0</w:t>
                  </w:r>
                </w:p>
              </w:tc>
              <w:tc>
                <w:tcPr>
                  <w:tcW w:w="840" w:type="dxa"/>
                  <w:vAlign w:val="center"/>
                  <w:hideMark/>
                </w:tcPr>
                <w:p w:rsidR="004F0D73" w:rsidRDefault="004F0D73">
                  <w:r>
                    <w:t>1</w:t>
                  </w:r>
                </w:p>
              </w:tc>
              <w:tc>
                <w:tcPr>
                  <w:tcW w:w="840" w:type="dxa"/>
                  <w:vAlign w:val="center"/>
                  <w:hideMark/>
                </w:tcPr>
                <w:p w:rsidR="004F0D73" w:rsidRDefault="004F0D73">
                  <w:r>
                    <w:t>2</w:t>
                  </w:r>
                </w:p>
              </w:tc>
              <w:tc>
                <w:tcPr>
                  <w:tcW w:w="840" w:type="dxa"/>
                  <w:vAlign w:val="center"/>
                  <w:hideMark/>
                </w:tcPr>
                <w:p w:rsidR="004F0D73" w:rsidRDefault="004F0D73">
                  <w:r>
                    <w:t>3</w:t>
                  </w:r>
                </w:p>
              </w:tc>
              <w:tc>
                <w:tcPr>
                  <w:tcW w:w="840" w:type="dxa"/>
                  <w:vAlign w:val="center"/>
                  <w:hideMark/>
                </w:tcPr>
                <w:p w:rsidR="004F0D73" w:rsidRDefault="004F0D73">
                  <w:r>
                    <w:t>4</w:t>
                  </w:r>
                </w:p>
              </w:tc>
              <w:tc>
                <w:tcPr>
                  <w:tcW w:w="840" w:type="dxa"/>
                  <w:vAlign w:val="center"/>
                  <w:hideMark/>
                </w:tcPr>
                <w:p w:rsidR="004F0D73" w:rsidRDefault="004F0D73">
                  <w:r>
                    <w:t>5</w:t>
                  </w:r>
                </w:p>
              </w:tc>
              <w:tc>
                <w:tcPr>
                  <w:tcW w:w="840" w:type="dxa"/>
                  <w:vAlign w:val="center"/>
                  <w:hideMark/>
                </w:tcPr>
                <w:p w:rsidR="004F0D73" w:rsidRDefault="004F0D73">
                  <w:r>
                    <w:t>6</w:t>
                  </w:r>
                </w:p>
              </w:tc>
              <w:tc>
                <w:tcPr>
                  <w:tcW w:w="840" w:type="dxa"/>
                  <w:vAlign w:val="center"/>
                  <w:hideMark/>
                </w:tcPr>
                <w:p w:rsidR="004F0D73" w:rsidRDefault="004F0D73">
                  <w:r>
                    <w:t>7</w:t>
                  </w:r>
                </w:p>
              </w:tc>
              <w:tc>
                <w:tcPr>
                  <w:tcW w:w="840" w:type="dxa"/>
                  <w:vAlign w:val="center"/>
                  <w:hideMark/>
                </w:tcPr>
                <w:p w:rsidR="004F0D73" w:rsidRDefault="004F0D73">
                  <w:r>
                    <w:t>8</w:t>
                  </w:r>
                </w:p>
              </w:tc>
              <w:tc>
                <w:tcPr>
                  <w:tcW w:w="600" w:type="dxa"/>
                  <w:vAlign w:val="center"/>
                  <w:hideMark/>
                </w:tcPr>
                <w:p w:rsidR="004F0D73" w:rsidRDefault="004F0D73">
                  <w:r>
                    <w:t>9</w:t>
                  </w:r>
                </w:p>
              </w:tc>
              <w:tc>
                <w:tcPr>
                  <w:tcW w:w="240" w:type="dxa"/>
                  <w:vAlign w:val="center"/>
                  <w:hideMark/>
                </w:tcPr>
                <w:p w:rsidR="004F0D73" w:rsidRDefault="004F0D73"/>
              </w:tc>
              <w:tc>
                <w:tcPr>
                  <w:tcW w:w="120" w:type="dxa"/>
                  <w:vAlign w:val="center"/>
                  <w:hideMark/>
                </w:tcPr>
                <w:p w:rsidR="004F0D73" w:rsidRDefault="004F0D73">
                  <w:r>
                    <w:t>10</w:t>
                  </w:r>
                </w:p>
              </w:tc>
              <w:tc>
                <w:tcPr>
                  <w:tcW w:w="240" w:type="dxa"/>
                  <w:vAlign w:val="center"/>
                  <w:hideMark/>
                </w:tcPr>
                <w:p w:rsidR="004F0D73" w:rsidRDefault="004F0D73"/>
              </w:tc>
            </w:tr>
            <w:tr w:rsidR="004F0D73">
              <w:trPr>
                <w:tblCellSpacing w:w="15" w:type="dxa"/>
              </w:trPr>
              <w:tc>
                <w:tcPr>
                  <w:tcW w:w="2880" w:type="dxa"/>
                  <w:vAlign w:val="center"/>
                  <w:hideMark/>
                </w:tcPr>
                <w:p w:rsidR="004F0D73" w:rsidRDefault="004F0D73">
                  <w:r>
                    <w:t>9. Slow thoughts</w:t>
                  </w:r>
                </w:p>
              </w:tc>
              <w:tc>
                <w:tcPr>
                  <w:tcW w:w="360" w:type="dxa"/>
                  <w:vAlign w:val="center"/>
                  <w:hideMark/>
                </w:tcPr>
                <w:p w:rsidR="004F0D73" w:rsidRDefault="004F0D73"/>
              </w:tc>
              <w:tc>
                <w:tcPr>
                  <w:tcW w:w="840" w:type="dxa"/>
                  <w:vAlign w:val="center"/>
                  <w:hideMark/>
                </w:tcPr>
                <w:p w:rsidR="004F0D73" w:rsidRDefault="004F0D73">
                  <w:r>
                    <w:t>0</w:t>
                  </w:r>
                </w:p>
              </w:tc>
              <w:tc>
                <w:tcPr>
                  <w:tcW w:w="840" w:type="dxa"/>
                  <w:vAlign w:val="center"/>
                  <w:hideMark/>
                </w:tcPr>
                <w:p w:rsidR="004F0D73" w:rsidRDefault="004F0D73">
                  <w:r>
                    <w:t>1</w:t>
                  </w:r>
                </w:p>
              </w:tc>
              <w:tc>
                <w:tcPr>
                  <w:tcW w:w="840" w:type="dxa"/>
                  <w:vAlign w:val="center"/>
                  <w:hideMark/>
                </w:tcPr>
                <w:p w:rsidR="004F0D73" w:rsidRDefault="004F0D73">
                  <w:r>
                    <w:t>2</w:t>
                  </w:r>
                </w:p>
              </w:tc>
              <w:tc>
                <w:tcPr>
                  <w:tcW w:w="840" w:type="dxa"/>
                  <w:vAlign w:val="center"/>
                  <w:hideMark/>
                </w:tcPr>
                <w:p w:rsidR="004F0D73" w:rsidRDefault="004F0D73">
                  <w:r>
                    <w:t>3</w:t>
                  </w:r>
                </w:p>
              </w:tc>
              <w:tc>
                <w:tcPr>
                  <w:tcW w:w="840" w:type="dxa"/>
                  <w:vAlign w:val="center"/>
                  <w:hideMark/>
                </w:tcPr>
                <w:p w:rsidR="004F0D73" w:rsidRDefault="004F0D73">
                  <w:r>
                    <w:t>4</w:t>
                  </w:r>
                </w:p>
              </w:tc>
              <w:tc>
                <w:tcPr>
                  <w:tcW w:w="840" w:type="dxa"/>
                  <w:vAlign w:val="center"/>
                  <w:hideMark/>
                </w:tcPr>
                <w:p w:rsidR="004F0D73" w:rsidRDefault="004F0D73">
                  <w:r>
                    <w:t>5</w:t>
                  </w:r>
                </w:p>
              </w:tc>
              <w:tc>
                <w:tcPr>
                  <w:tcW w:w="840" w:type="dxa"/>
                  <w:vAlign w:val="center"/>
                  <w:hideMark/>
                </w:tcPr>
                <w:p w:rsidR="004F0D73" w:rsidRDefault="004F0D73">
                  <w:r>
                    <w:t>6</w:t>
                  </w:r>
                </w:p>
              </w:tc>
              <w:tc>
                <w:tcPr>
                  <w:tcW w:w="840" w:type="dxa"/>
                  <w:vAlign w:val="center"/>
                  <w:hideMark/>
                </w:tcPr>
                <w:p w:rsidR="004F0D73" w:rsidRDefault="004F0D73">
                  <w:r>
                    <w:t>7</w:t>
                  </w:r>
                </w:p>
              </w:tc>
              <w:tc>
                <w:tcPr>
                  <w:tcW w:w="840" w:type="dxa"/>
                  <w:vAlign w:val="center"/>
                  <w:hideMark/>
                </w:tcPr>
                <w:p w:rsidR="004F0D73" w:rsidRDefault="004F0D73">
                  <w:r>
                    <w:t>8</w:t>
                  </w:r>
                </w:p>
              </w:tc>
              <w:tc>
                <w:tcPr>
                  <w:tcW w:w="600" w:type="dxa"/>
                  <w:vAlign w:val="center"/>
                  <w:hideMark/>
                </w:tcPr>
                <w:p w:rsidR="004F0D73" w:rsidRDefault="004F0D73">
                  <w:r>
                    <w:t>9</w:t>
                  </w:r>
                </w:p>
              </w:tc>
              <w:tc>
                <w:tcPr>
                  <w:tcW w:w="240" w:type="dxa"/>
                  <w:vAlign w:val="center"/>
                  <w:hideMark/>
                </w:tcPr>
                <w:p w:rsidR="004F0D73" w:rsidRDefault="004F0D73"/>
              </w:tc>
              <w:tc>
                <w:tcPr>
                  <w:tcW w:w="120" w:type="dxa"/>
                  <w:vAlign w:val="center"/>
                  <w:hideMark/>
                </w:tcPr>
                <w:p w:rsidR="004F0D73" w:rsidRDefault="004F0D73">
                  <w:r>
                    <w:t>10</w:t>
                  </w:r>
                </w:p>
              </w:tc>
              <w:tc>
                <w:tcPr>
                  <w:tcW w:w="240" w:type="dxa"/>
                  <w:vAlign w:val="center"/>
                  <w:hideMark/>
                </w:tcPr>
                <w:p w:rsidR="004F0D73" w:rsidRDefault="004F0D73"/>
              </w:tc>
            </w:tr>
            <w:tr w:rsidR="004F0D73">
              <w:trPr>
                <w:tblCellSpacing w:w="15" w:type="dxa"/>
              </w:trPr>
              <w:tc>
                <w:tcPr>
                  <w:tcW w:w="2880" w:type="dxa"/>
                  <w:vAlign w:val="center"/>
                  <w:hideMark/>
                </w:tcPr>
                <w:p w:rsidR="004F0D73" w:rsidRDefault="004F0D73">
                  <w:r>
                    <w:t>10. Sluggish</w:t>
                  </w:r>
                </w:p>
              </w:tc>
              <w:tc>
                <w:tcPr>
                  <w:tcW w:w="360" w:type="dxa"/>
                  <w:vAlign w:val="center"/>
                  <w:hideMark/>
                </w:tcPr>
                <w:p w:rsidR="004F0D73" w:rsidRDefault="004F0D73"/>
              </w:tc>
              <w:tc>
                <w:tcPr>
                  <w:tcW w:w="840" w:type="dxa"/>
                  <w:vAlign w:val="center"/>
                  <w:hideMark/>
                </w:tcPr>
                <w:p w:rsidR="004F0D73" w:rsidRDefault="004F0D73">
                  <w:r>
                    <w:t>0</w:t>
                  </w:r>
                </w:p>
              </w:tc>
              <w:tc>
                <w:tcPr>
                  <w:tcW w:w="840" w:type="dxa"/>
                  <w:vAlign w:val="center"/>
                  <w:hideMark/>
                </w:tcPr>
                <w:p w:rsidR="004F0D73" w:rsidRDefault="004F0D73">
                  <w:r>
                    <w:t>1</w:t>
                  </w:r>
                </w:p>
              </w:tc>
              <w:tc>
                <w:tcPr>
                  <w:tcW w:w="840" w:type="dxa"/>
                  <w:vAlign w:val="center"/>
                  <w:hideMark/>
                </w:tcPr>
                <w:p w:rsidR="004F0D73" w:rsidRDefault="004F0D73">
                  <w:r>
                    <w:t>2</w:t>
                  </w:r>
                </w:p>
              </w:tc>
              <w:tc>
                <w:tcPr>
                  <w:tcW w:w="840" w:type="dxa"/>
                  <w:vAlign w:val="center"/>
                  <w:hideMark/>
                </w:tcPr>
                <w:p w:rsidR="004F0D73" w:rsidRDefault="004F0D73">
                  <w:r>
                    <w:t>3</w:t>
                  </w:r>
                </w:p>
              </w:tc>
              <w:tc>
                <w:tcPr>
                  <w:tcW w:w="840" w:type="dxa"/>
                  <w:vAlign w:val="center"/>
                  <w:hideMark/>
                </w:tcPr>
                <w:p w:rsidR="004F0D73" w:rsidRDefault="004F0D73">
                  <w:r>
                    <w:t>4</w:t>
                  </w:r>
                </w:p>
              </w:tc>
              <w:tc>
                <w:tcPr>
                  <w:tcW w:w="840" w:type="dxa"/>
                  <w:vAlign w:val="center"/>
                  <w:hideMark/>
                </w:tcPr>
                <w:p w:rsidR="004F0D73" w:rsidRDefault="004F0D73">
                  <w:r>
                    <w:t>5</w:t>
                  </w:r>
                </w:p>
              </w:tc>
              <w:tc>
                <w:tcPr>
                  <w:tcW w:w="840" w:type="dxa"/>
                  <w:vAlign w:val="center"/>
                  <w:hideMark/>
                </w:tcPr>
                <w:p w:rsidR="004F0D73" w:rsidRDefault="004F0D73">
                  <w:r>
                    <w:t>6</w:t>
                  </w:r>
                </w:p>
              </w:tc>
              <w:tc>
                <w:tcPr>
                  <w:tcW w:w="840" w:type="dxa"/>
                  <w:vAlign w:val="center"/>
                  <w:hideMark/>
                </w:tcPr>
                <w:p w:rsidR="004F0D73" w:rsidRDefault="004F0D73">
                  <w:r>
                    <w:t>7</w:t>
                  </w:r>
                </w:p>
              </w:tc>
              <w:tc>
                <w:tcPr>
                  <w:tcW w:w="840" w:type="dxa"/>
                  <w:vAlign w:val="center"/>
                  <w:hideMark/>
                </w:tcPr>
                <w:p w:rsidR="004F0D73" w:rsidRDefault="004F0D73">
                  <w:r>
                    <w:t>8</w:t>
                  </w:r>
                </w:p>
              </w:tc>
              <w:tc>
                <w:tcPr>
                  <w:tcW w:w="600" w:type="dxa"/>
                  <w:vAlign w:val="center"/>
                  <w:hideMark/>
                </w:tcPr>
                <w:p w:rsidR="004F0D73" w:rsidRDefault="004F0D73">
                  <w:r>
                    <w:t>9</w:t>
                  </w:r>
                </w:p>
              </w:tc>
              <w:tc>
                <w:tcPr>
                  <w:tcW w:w="240" w:type="dxa"/>
                  <w:vAlign w:val="center"/>
                  <w:hideMark/>
                </w:tcPr>
                <w:p w:rsidR="004F0D73" w:rsidRDefault="004F0D73"/>
              </w:tc>
              <w:tc>
                <w:tcPr>
                  <w:tcW w:w="120" w:type="dxa"/>
                  <w:vAlign w:val="center"/>
                  <w:hideMark/>
                </w:tcPr>
                <w:p w:rsidR="004F0D73" w:rsidRDefault="004F0D73">
                  <w:r>
                    <w:t>10</w:t>
                  </w:r>
                </w:p>
              </w:tc>
              <w:tc>
                <w:tcPr>
                  <w:tcW w:w="240" w:type="dxa"/>
                  <w:vAlign w:val="center"/>
                  <w:hideMark/>
                </w:tcPr>
                <w:p w:rsidR="004F0D73" w:rsidRDefault="004F0D73"/>
              </w:tc>
            </w:tr>
            <w:tr w:rsidR="004F0D73">
              <w:trPr>
                <w:tblCellSpacing w:w="15" w:type="dxa"/>
              </w:trPr>
              <w:tc>
                <w:tcPr>
                  <w:tcW w:w="2880" w:type="dxa"/>
                  <w:vAlign w:val="center"/>
                  <w:hideMark/>
                </w:tcPr>
                <w:p w:rsidR="004F0D73" w:rsidRDefault="004F0D73">
                  <w:r>
                    <w:t>11. Stimulated</w:t>
                  </w:r>
                </w:p>
              </w:tc>
              <w:tc>
                <w:tcPr>
                  <w:tcW w:w="360" w:type="dxa"/>
                  <w:vAlign w:val="center"/>
                  <w:hideMark/>
                </w:tcPr>
                <w:p w:rsidR="004F0D73" w:rsidRDefault="004F0D73"/>
              </w:tc>
              <w:tc>
                <w:tcPr>
                  <w:tcW w:w="840" w:type="dxa"/>
                  <w:vAlign w:val="center"/>
                  <w:hideMark/>
                </w:tcPr>
                <w:p w:rsidR="004F0D73" w:rsidRDefault="004F0D73">
                  <w:r>
                    <w:t>0</w:t>
                  </w:r>
                </w:p>
              </w:tc>
              <w:tc>
                <w:tcPr>
                  <w:tcW w:w="840" w:type="dxa"/>
                  <w:vAlign w:val="center"/>
                  <w:hideMark/>
                </w:tcPr>
                <w:p w:rsidR="004F0D73" w:rsidRDefault="004F0D73">
                  <w:r>
                    <w:t>1</w:t>
                  </w:r>
                </w:p>
              </w:tc>
              <w:tc>
                <w:tcPr>
                  <w:tcW w:w="840" w:type="dxa"/>
                  <w:vAlign w:val="center"/>
                  <w:hideMark/>
                </w:tcPr>
                <w:p w:rsidR="004F0D73" w:rsidRDefault="004F0D73">
                  <w:r>
                    <w:t>2</w:t>
                  </w:r>
                </w:p>
              </w:tc>
              <w:tc>
                <w:tcPr>
                  <w:tcW w:w="840" w:type="dxa"/>
                  <w:vAlign w:val="center"/>
                  <w:hideMark/>
                </w:tcPr>
                <w:p w:rsidR="004F0D73" w:rsidRDefault="004F0D73">
                  <w:r>
                    <w:t>3</w:t>
                  </w:r>
                </w:p>
              </w:tc>
              <w:tc>
                <w:tcPr>
                  <w:tcW w:w="840" w:type="dxa"/>
                  <w:vAlign w:val="center"/>
                  <w:hideMark/>
                </w:tcPr>
                <w:p w:rsidR="004F0D73" w:rsidRDefault="004F0D73">
                  <w:r>
                    <w:t>4</w:t>
                  </w:r>
                </w:p>
              </w:tc>
              <w:tc>
                <w:tcPr>
                  <w:tcW w:w="840" w:type="dxa"/>
                  <w:vAlign w:val="center"/>
                  <w:hideMark/>
                </w:tcPr>
                <w:p w:rsidR="004F0D73" w:rsidRDefault="004F0D73">
                  <w:r>
                    <w:t>5</w:t>
                  </w:r>
                </w:p>
              </w:tc>
              <w:tc>
                <w:tcPr>
                  <w:tcW w:w="840" w:type="dxa"/>
                  <w:vAlign w:val="center"/>
                  <w:hideMark/>
                </w:tcPr>
                <w:p w:rsidR="004F0D73" w:rsidRDefault="004F0D73">
                  <w:r>
                    <w:t>6</w:t>
                  </w:r>
                </w:p>
              </w:tc>
              <w:tc>
                <w:tcPr>
                  <w:tcW w:w="840" w:type="dxa"/>
                  <w:vAlign w:val="center"/>
                  <w:hideMark/>
                </w:tcPr>
                <w:p w:rsidR="004F0D73" w:rsidRDefault="004F0D73">
                  <w:r>
                    <w:t>7</w:t>
                  </w:r>
                </w:p>
              </w:tc>
              <w:tc>
                <w:tcPr>
                  <w:tcW w:w="840" w:type="dxa"/>
                  <w:vAlign w:val="center"/>
                  <w:hideMark/>
                </w:tcPr>
                <w:p w:rsidR="004F0D73" w:rsidRDefault="004F0D73">
                  <w:r>
                    <w:t>8</w:t>
                  </w:r>
                </w:p>
              </w:tc>
              <w:tc>
                <w:tcPr>
                  <w:tcW w:w="600" w:type="dxa"/>
                  <w:vAlign w:val="center"/>
                  <w:hideMark/>
                </w:tcPr>
                <w:p w:rsidR="004F0D73" w:rsidRDefault="004F0D73">
                  <w:r>
                    <w:t>9</w:t>
                  </w:r>
                </w:p>
              </w:tc>
              <w:tc>
                <w:tcPr>
                  <w:tcW w:w="240" w:type="dxa"/>
                  <w:vAlign w:val="center"/>
                  <w:hideMark/>
                </w:tcPr>
                <w:p w:rsidR="004F0D73" w:rsidRDefault="004F0D73"/>
              </w:tc>
              <w:tc>
                <w:tcPr>
                  <w:tcW w:w="120" w:type="dxa"/>
                  <w:vAlign w:val="center"/>
                  <w:hideMark/>
                </w:tcPr>
                <w:p w:rsidR="004F0D73" w:rsidRDefault="004F0D73">
                  <w:r>
                    <w:t>10</w:t>
                  </w:r>
                </w:p>
              </w:tc>
              <w:tc>
                <w:tcPr>
                  <w:tcW w:w="240" w:type="dxa"/>
                  <w:vAlign w:val="center"/>
                  <w:hideMark/>
                </w:tcPr>
                <w:p w:rsidR="004F0D73" w:rsidRDefault="004F0D73"/>
              </w:tc>
            </w:tr>
            <w:tr w:rsidR="004F0D73">
              <w:trPr>
                <w:tblCellSpacing w:w="15" w:type="dxa"/>
              </w:trPr>
              <w:tc>
                <w:tcPr>
                  <w:tcW w:w="2880" w:type="dxa"/>
                  <w:vAlign w:val="center"/>
                  <w:hideMark/>
                </w:tcPr>
                <w:p w:rsidR="004F0D73" w:rsidRDefault="004F0D73">
                  <w:r>
                    <w:t>12. Talkative</w:t>
                  </w:r>
                </w:p>
              </w:tc>
              <w:tc>
                <w:tcPr>
                  <w:tcW w:w="360" w:type="dxa"/>
                  <w:vAlign w:val="center"/>
                  <w:hideMark/>
                </w:tcPr>
                <w:p w:rsidR="004F0D73" w:rsidRDefault="004F0D73"/>
              </w:tc>
              <w:tc>
                <w:tcPr>
                  <w:tcW w:w="840" w:type="dxa"/>
                  <w:vAlign w:val="center"/>
                  <w:hideMark/>
                </w:tcPr>
                <w:p w:rsidR="004F0D73" w:rsidRDefault="004F0D73">
                  <w:r>
                    <w:t>0</w:t>
                  </w:r>
                </w:p>
              </w:tc>
              <w:tc>
                <w:tcPr>
                  <w:tcW w:w="840" w:type="dxa"/>
                  <w:vAlign w:val="center"/>
                  <w:hideMark/>
                </w:tcPr>
                <w:p w:rsidR="004F0D73" w:rsidRDefault="004F0D73">
                  <w:r>
                    <w:t>1</w:t>
                  </w:r>
                </w:p>
              </w:tc>
              <w:tc>
                <w:tcPr>
                  <w:tcW w:w="840" w:type="dxa"/>
                  <w:vAlign w:val="center"/>
                  <w:hideMark/>
                </w:tcPr>
                <w:p w:rsidR="004F0D73" w:rsidRDefault="004F0D73">
                  <w:r>
                    <w:t>2</w:t>
                  </w:r>
                </w:p>
              </w:tc>
              <w:tc>
                <w:tcPr>
                  <w:tcW w:w="840" w:type="dxa"/>
                  <w:vAlign w:val="center"/>
                  <w:hideMark/>
                </w:tcPr>
                <w:p w:rsidR="004F0D73" w:rsidRDefault="004F0D73">
                  <w:r>
                    <w:t>3</w:t>
                  </w:r>
                </w:p>
              </w:tc>
              <w:tc>
                <w:tcPr>
                  <w:tcW w:w="840" w:type="dxa"/>
                  <w:vAlign w:val="center"/>
                  <w:hideMark/>
                </w:tcPr>
                <w:p w:rsidR="004F0D73" w:rsidRDefault="004F0D73">
                  <w:r>
                    <w:t>4</w:t>
                  </w:r>
                </w:p>
              </w:tc>
              <w:tc>
                <w:tcPr>
                  <w:tcW w:w="840" w:type="dxa"/>
                  <w:vAlign w:val="center"/>
                  <w:hideMark/>
                </w:tcPr>
                <w:p w:rsidR="004F0D73" w:rsidRDefault="004F0D73">
                  <w:r>
                    <w:t>5</w:t>
                  </w:r>
                </w:p>
              </w:tc>
              <w:tc>
                <w:tcPr>
                  <w:tcW w:w="840" w:type="dxa"/>
                  <w:vAlign w:val="center"/>
                  <w:hideMark/>
                </w:tcPr>
                <w:p w:rsidR="004F0D73" w:rsidRDefault="004F0D73">
                  <w:r>
                    <w:t>6</w:t>
                  </w:r>
                </w:p>
              </w:tc>
              <w:tc>
                <w:tcPr>
                  <w:tcW w:w="840" w:type="dxa"/>
                  <w:vAlign w:val="center"/>
                  <w:hideMark/>
                </w:tcPr>
                <w:p w:rsidR="004F0D73" w:rsidRDefault="004F0D73">
                  <w:r>
                    <w:t>7</w:t>
                  </w:r>
                </w:p>
              </w:tc>
              <w:tc>
                <w:tcPr>
                  <w:tcW w:w="840" w:type="dxa"/>
                  <w:vAlign w:val="center"/>
                  <w:hideMark/>
                </w:tcPr>
                <w:p w:rsidR="004F0D73" w:rsidRDefault="004F0D73">
                  <w:r>
                    <w:t>8</w:t>
                  </w:r>
                </w:p>
              </w:tc>
              <w:tc>
                <w:tcPr>
                  <w:tcW w:w="600" w:type="dxa"/>
                  <w:vAlign w:val="center"/>
                  <w:hideMark/>
                </w:tcPr>
                <w:p w:rsidR="004F0D73" w:rsidRDefault="004F0D73">
                  <w:r>
                    <w:t>9</w:t>
                  </w:r>
                </w:p>
              </w:tc>
              <w:tc>
                <w:tcPr>
                  <w:tcW w:w="240" w:type="dxa"/>
                  <w:vAlign w:val="center"/>
                  <w:hideMark/>
                </w:tcPr>
                <w:p w:rsidR="004F0D73" w:rsidRDefault="004F0D73"/>
              </w:tc>
              <w:tc>
                <w:tcPr>
                  <w:tcW w:w="120" w:type="dxa"/>
                  <w:vAlign w:val="center"/>
                  <w:hideMark/>
                </w:tcPr>
                <w:p w:rsidR="004F0D73" w:rsidRDefault="004F0D73">
                  <w:r>
                    <w:t>10</w:t>
                  </w:r>
                </w:p>
              </w:tc>
              <w:tc>
                <w:tcPr>
                  <w:tcW w:w="240" w:type="dxa"/>
                  <w:vAlign w:val="center"/>
                  <w:hideMark/>
                </w:tcPr>
                <w:p w:rsidR="004F0D73" w:rsidRDefault="004F0D73"/>
              </w:tc>
            </w:tr>
            <w:tr w:rsidR="004F0D73">
              <w:trPr>
                <w:tblCellSpacing w:w="15" w:type="dxa"/>
              </w:trPr>
              <w:tc>
                <w:tcPr>
                  <w:tcW w:w="2880" w:type="dxa"/>
                  <w:vAlign w:val="center"/>
                  <w:hideMark/>
                </w:tcPr>
                <w:p w:rsidR="004F0D73" w:rsidRDefault="004F0D73">
                  <w:r>
                    <w:t>13. Up</w:t>
                  </w:r>
                </w:p>
              </w:tc>
              <w:tc>
                <w:tcPr>
                  <w:tcW w:w="360" w:type="dxa"/>
                  <w:vAlign w:val="center"/>
                  <w:hideMark/>
                </w:tcPr>
                <w:p w:rsidR="004F0D73" w:rsidRDefault="004F0D73"/>
              </w:tc>
              <w:tc>
                <w:tcPr>
                  <w:tcW w:w="840" w:type="dxa"/>
                  <w:vAlign w:val="center"/>
                  <w:hideMark/>
                </w:tcPr>
                <w:p w:rsidR="004F0D73" w:rsidRDefault="004F0D73">
                  <w:r>
                    <w:t>0</w:t>
                  </w:r>
                </w:p>
              </w:tc>
              <w:tc>
                <w:tcPr>
                  <w:tcW w:w="840" w:type="dxa"/>
                  <w:vAlign w:val="center"/>
                  <w:hideMark/>
                </w:tcPr>
                <w:p w:rsidR="004F0D73" w:rsidRDefault="004F0D73">
                  <w:r>
                    <w:t>1</w:t>
                  </w:r>
                </w:p>
              </w:tc>
              <w:tc>
                <w:tcPr>
                  <w:tcW w:w="840" w:type="dxa"/>
                  <w:vAlign w:val="center"/>
                  <w:hideMark/>
                </w:tcPr>
                <w:p w:rsidR="004F0D73" w:rsidRDefault="004F0D73">
                  <w:r>
                    <w:t>2</w:t>
                  </w:r>
                </w:p>
              </w:tc>
              <w:tc>
                <w:tcPr>
                  <w:tcW w:w="840" w:type="dxa"/>
                  <w:vAlign w:val="center"/>
                  <w:hideMark/>
                </w:tcPr>
                <w:p w:rsidR="004F0D73" w:rsidRDefault="004F0D73">
                  <w:r>
                    <w:t>3</w:t>
                  </w:r>
                </w:p>
              </w:tc>
              <w:tc>
                <w:tcPr>
                  <w:tcW w:w="840" w:type="dxa"/>
                  <w:vAlign w:val="center"/>
                  <w:hideMark/>
                </w:tcPr>
                <w:p w:rsidR="004F0D73" w:rsidRDefault="004F0D73">
                  <w:r>
                    <w:t>4</w:t>
                  </w:r>
                </w:p>
              </w:tc>
              <w:tc>
                <w:tcPr>
                  <w:tcW w:w="840" w:type="dxa"/>
                  <w:vAlign w:val="center"/>
                  <w:hideMark/>
                </w:tcPr>
                <w:p w:rsidR="004F0D73" w:rsidRDefault="004F0D73">
                  <w:r>
                    <w:t>5</w:t>
                  </w:r>
                </w:p>
              </w:tc>
              <w:tc>
                <w:tcPr>
                  <w:tcW w:w="840" w:type="dxa"/>
                  <w:vAlign w:val="center"/>
                  <w:hideMark/>
                </w:tcPr>
                <w:p w:rsidR="004F0D73" w:rsidRDefault="004F0D73">
                  <w:r>
                    <w:t>6</w:t>
                  </w:r>
                </w:p>
              </w:tc>
              <w:tc>
                <w:tcPr>
                  <w:tcW w:w="840" w:type="dxa"/>
                  <w:vAlign w:val="center"/>
                  <w:hideMark/>
                </w:tcPr>
                <w:p w:rsidR="004F0D73" w:rsidRDefault="004F0D73">
                  <w:r>
                    <w:t>7</w:t>
                  </w:r>
                </w:p>
              </w:tc>
              <w:tc>
                <w:tcPr>
                  <w:tcW w:w="840" w:type="dxa"/>
                  <w:vAlign w:val="center"/>
                  <w:hideMark/>
                </w:tcPr>
                <w:p w:rsidR="004F0D73" w:rsidRDefault="004F0D73">
                  <w:r>
                    <w:t>8</w:t>
                  </w:r>
                </w:p>
              </w:tc>
              <w:tc>
                <w:tcPr>
                  <w:tcW w:w="600" w:type="dxa"/>
                  <w:vAlign w:val="center"/>
                  <w:hideMark/>
                </w:tcPr>
                <w:p w:rsidR="004F0D73" w:rsidRDefault="004F0D73">
                  <w:r>
                    <w:t>9</w:t>
                  </w:r>
                </w:p>
              </w:tc>
              <w:tc>
                <w:tcPr>
                  <w:tcW w:w="240" w:type="dxa"/>
                  <w:vAlign w:val="center"/>
                  <w:hideMark/>
                </w:tcPr>
                <w:p w:rsidR="004F0D73" w:rsidRDefault="004F0D73"/>
              </w:tc>
              <w:tc>
                <w:tcPr>
                  <w:tcW w:w="120" w:type="dxa"/>
                  <w:vAlign w:val="center"/>
                  <w:hideMark/>
                </w:tcPr>
                <w:p w:rsidR="004F0D73" w:rsidRDefault="004F0D73">
                  <w:r>
                    <w:t>10</w:t>
                  </w:r>
                </w:p>
              </w:tc>
              <w:tc>
                <w:tcPr>
                  <w:tcW w:w="240" w:type="dxa"/>
                  <w:vAlign w:val="center"/>
                  <w:hideMark/>
                </w:tcPr>
                <w:p w:rsidR="004F0D73" w:rsidRDefault="004F0D73"/>
              </w:tc>
            </w:tr>
            <w:tr w:rsidR="004F0D73">
              <w:trPr>
                <w:tblCellSpacing w:w="15" w:type="dxa"/>
              </w:trPr>
              <w:tc>
                <w:tcPr>
                  <w:tcW w:w="2880" w:type="dxa"/>
                  <w:vAlign w:val="center"/>
                  <w:hideMark/>
                </w:tcPr>
                <w:p w:rsidR="004F0D73" w:rsidRDefault="004F0D73">
                  <w:r>
                    <w:t>14. Vigorous</w:t>
                  </w:r>
                </w:p>
              </w:tc>
              <w:tc>
                <w:tcPr>
                  <w:tcW w:w="360" w:type="dxa"/>
                  <w:vAlign w:val="center"/>
                  <w:hideMark/>
                </w:tcPr>
                <w:p w:rsidR="004F0D73" w:rsidRDefault="004F0D73"/>
              </w:tc>
              <w:tc>
                <w:tcPr>
                  <w:tcW w:w="840" w:type="dxa"/>
                  <w:vAlign w:val="center"/>
                  <w:hideMark/>
                </w:tcPr>
                <w:p w:rsidR="004F0D73" w:rsidRDefault="004F0D73">
                  <w:r>
                    <w:t>0</w:t>
                  </w:r>
                </w:p>
              </w:tc>
              <w:tc>
                <w:tcPr>
                  <w:tcW w:w="840" w:type="dxa"/>
                  <w:vAlign w:val="center"/>
                  <w:hideMark/>
                </w:tcPr>
                <w:p w:rsidR="004F0D73" w:rsidRDefault="004F0D73">
                  <w:r>
                    <w:t>1</w:t>
                  </w:r>
                </w:p>
              </w:tc>
              <w:tc>
                <w:tcPr>
                  <w:tcW w:w="840" w:type="dxa"/>
                  <w:vAlign w:val="center"/>
                  <w:hideMark/>
                </w:tcPr>
                <w:p w:rsidR="004F0D73" w:rsidRDefault="004F0D73">
                  <w:r>
                    <w:t>2</w:t>
                  </w:r>
                </w:p>
              </w:tc>
              <w:tc>
                <w:tcPr>
                  <w:tcW w:w="840" w:type="dxa"/>
                  <w:vAlign w:val="center"/>
                  <w:hideMark/>
                </w:tcPr>
                <w:p w:rsidR="004F0D73" w:rsidRDefault="004F0D73">
                  <w:r>
                    <w:t>3</w:t>
                  </w:r>
                </w:p>
              </w:tc>
              <w:tc>
                <w:tcPr>
                  <w:tcW w:w="840" w:type="dxa"/>
                  <w:vAlign w:val="center"/>
                  <w:hideMark/>
                </w:tcPr>
                <w:p w:rsidR="004F0D73" w:rsidRDefault="004F0D73">
                  <w:r>
                    <w:t>4</w:t>
                  </w:r>
                </w:p>
              </w:tc>
              <w:tc>
                <w:tcPr>
                  <w:tcW w:w="840" w:type="dxa"/>
                  <w:vAlign w:val="center"/>
                  <w:hideMark/>
                </w:tcPr>
                <w:p w:rsidR="004F0D73" w:rsidRDefault="004F0D73">
                  <w:r>
                    <w:t>5</w:t>
                  </w:r>
                </w:p>
              </w:tc>
              <w:tc>
                <w:tcPr>
                  <w:tcW w:w="840" w:type="dxa"/>
                  <w:vAlign w:val="center"/>
                  <w:hideMark/>
                </w:tcPr>
                <w:p w:rsidR="004F0D73" w:rsidRDefault="004F0D73">
                  <w:r>
                    <w:t>6</w:t>
                  </w:r>
                </w:p>
              </w:tc>
              <w:tc>
                <w:tcPr>
                  <w:tcW w:w="840" w:type="dxa"/>
                  <w:vAlign w:val="center"/>
                  <w:hideMark/>
                </w:tcPr>
                <w:p w:rsidR="004F0D73" w:rsidRDefault="004F0D73">
                  <w:r>
                    <w:t>7</w:t>
                  </w:r>
                </w:p>
              </w:tc>
              <w:tc>
                <w:tcPr>
                  <w:tcW w:w="840" w:type="dxa"/>
                  <w:vAlign w:val="center"/>
                  <w:hideMark/>
                </w:tcPr>
                <w:p w:rsidR="004F0D73" w:rsidRDefault="004F0D73">
                  <w:r>
                    <w:t>8</w:t>
                  </w:r>
                </w:p>
              </w:tc>
              <w:tc>
                <w:tcPr>
                  <w:tcW w:w="600" w:type="dxa"/>
                  <w:vAlign w:val="center"/>
                  <w:hideMark/>
                </w:tcPr>
                <w:p w:rsidR="004F0D73" w:rsidRDefault="004F0D73">
                  <w:r>
                    <w:t>9</w:t>
                  </w:r>
                </w:p>
              </w:tc>
              <w:tc>
                <w:tcPr>
                  <w:tcW w:w="240" w:type="dxa"/>
                  <w:vAlign w:val="center"/>
                  <w:hideMark/>
                </w:tcPr>
                <w:p w:rsidR="004F0D73" w:rsidRDefault="004F0D73"/>
              </w:tc>
              <w:tc>
                <w:tcPr>
                  <w:tcW w:w="120" w:type="dxa"/>
                  <w:vAlign w:val="center"/>
                  <w:hideMark/>
                </w:tcPr>
                <w:p w:rsidR="004F0D73" w:rsidRDefault="004F0D73">
                  <w:r>
                    <w:t>10</w:t>
                  </w:r>
                </w:p>
              </w:tc>
              <w:tc>
                <w:tcPr>
                  <w:tcW w:w="360" w:type="dxa"/>
                  <w:vAlign w:val="center"/>
                  <w:hideMark/>
                </w:tcPr>
                <w:p w:rsidR="004F0D73" w:rsidRDefault="004F0D73"/>
              </w:tc>
            </w:tr>
          </w:tbl>
          <w:p w:rsidR="004F0D73" w:rsidRPr="0075381E" w:rsidRDefault="004F0D73">
            <w:pPr>
              <w:pStyle w:val="NormalWeb"/>
            </w:pPr>
            <w:r w:rsidRPr="0075381E">
              <w:rPr>
                <w:rStyle w:val="Strong"/>
              </w:rPr>
              <w:lastRenderedPageBreak/>
              <w:t>Scoring Procedures and Interpretation</w:t>
            </w:r>
          </w:p>
          <w:p w:rsidR="004F0D73" w:rsidRPr="0075381E" w:rsidRDefault="004F0D73">
            <w:pPr>
              <w:pStyle w:val="NormalWeb"/>
            </w:pPr>
            <w:r w:rsidRPr="0075381E">
              <w:t>The Sedation and Stimulation subscales are calculated by summing the following items (for the 14-point scale):</w:t>
            </w:r>
          </w:p>
          <w:p w:rsidR="004F0D73" w:rsidRPr="0075381E" w:rsidRDefault="004F0D73">
            <w:pPr>
              <w:pStyle w:val="NormalWeb"/>
            </w:pPr>
            <w:r w:rsidRPr="0075381E">
              <w:rPr>
                <w:rStyle w:val="Strong"/>
              </w:rPr>
              <w:t xml:space="preserve">Stimulation: = </w:t>
            </w:r>
            <w:r w:rsidRPr="0075381E">
              <w:t>BAES3 + BAES4 + BAES5 + BAES11 + BAES12 + BAES13 +BAES14</w:t>
            </w:r>
          </w:p>
          <w:p w:rsidR="004F0D73" w:rsidRPr="0075381E" w:rsidRDefault="004F0D73">
            <w:pPr>
              <w:pStyle w:val="NormalWeb"/>
            </w:pPr>
            <w:r w:rsidRPr="0075381E">
              <w:rPr>
                <w:rStyle w:val="Strong"/>
              </w:rPr>
              <w:t xml:space="preserve">Sedation: = </w:t>
            </w:r>
            <w:r w:rsidRPr="0075381E">
              <w:t>BAES1 + BAES2 + BAES6 + BAES7 + BAES8 + BAES9 + BAES10</w:t>
            </w:r>
          </w:p>
        </w:tc>
      </w:tr>
      <w:tr w:rsidR="004F0D73">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rPr>
                <w:rStyle w:val="Strong"/>
              </w:rPr>
              <w:lastRenderedPageBreak/>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t>The 14-item Biphasic Alcohol Effects Scale (BAES) was selected because it is one of the most widely used subjective alcohol assessment tools in studies involving actual administration of alcohol. It is sensitive to the stimulant and sedative effects of alcohol observed during the ascending and descending limbs of the blood alcohol curve. It is reliable, has good test psychometric properties, and can be used repeatedly within a session. A brief six-item version of the BAES has also been developed (Rueger et al., 2009).</w:t>
            </w:r>
          </w:p>
        </w:tc>
      </w:tr>
      <w:tr w:rsidR="004F0D73">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4F0D73" w:rsidRPr="0075381E" w:rsidRDefault="004F0D73">
            <w:pPr>
              <w:pStyle w:val="NormalWeb"/>
            </w:pPr>
            <w:r w:rsidRPr="0075381E">
              <w:t xml:space="preserve">Martin, C. S., Earleywine, M., Musty, R. E., Perrine, M. W., &amp; Swift R. M. (1993). Development and validation of the Biphasic Alcohol Effects Scale. </w:t>
            </w:r>
            <w:r w:rsidRPr="0075381E">
              <w:rPr>
                <w:i/>
                <w:iCs/>
              </w:rPr>
              <w:t>Alcoholism: Clinical and Experimental Research, 17</w:t>
            </w:r>
            <w:r w:rsidRPr="0075381E">
              <w:t>(1), 140–146.</w:t>
            </w:r>
          </w:p>
        </w:tc>
      </w:tr>
      <w:tr w:rsidR="004F0D73">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4F0D73" w:rsidRPr="0075381E" w:rsidRDefault="004F0D73">
            <w:pPr>
              <w:pStyle w:val="NormalWeb"/>
            </w:pPr>
            <w:r w:rsidRPr="0075381E">
              <w:t>Adult</w:t>
            </w:r>
            <w:r w:rsidRPr="0075381E">
              <w:br/>
              <w:t>Senior</w:t>
            </w:r>
          </w:p>
        </w:tc>
      </w:tr>
      <w:tr w:rsidR="004F0D73">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4F0D73" w:rsidRPr="0075381E" w:rsidRDefault="004F0D73">
            <w:pPr>
              <w:pStyle w:val="NormalWeb"/>
            </w:pPr>
            <w:r w:rsidRPr="0075381E">
              <w:t>English</w:t>
            </w:r>
          </w:p>
        </w:tc>
      </w:tr>
      <w:tr w:rsidR="004F0D73">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t>Adults aged 18 years and older</w:t>
            </w:r>
          </w:p>
        </w:tc>
      </w:tr>
      <w:tr w:rsidR="004F0D73">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t>None</w:t>
            </w:r>
          </w:p>
        </w:tc>
      </w:tr>
      <w:tr w:rsidR="004F0D73">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t>None</w:t>
            </w:r>
          </w:p>
        </w:tc>
      </w:tr>
      <w:tr w:rsidR="004F0D73">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72"/>
              <w:gridCol w:w="4843"/>
              <w:gridCol w:w="930"/>
              <w:gridCol w:w="1459"/>
            </w:tblGrid>
            <w:tr w:rsidR="004F0D7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rPr>
                      <w:rStyle w:val="Strong"/>
                    </w:rPr>
                    <w:t>Source</w:t>
                  </w:r>
                </w:p>
              </w:tc>
            </w:tr>
            <w:tr w:rsidR="004F0D7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t>Addiction Biphasic Alcohol Effect Scale (BAES)</w:t>
                  </w:r>
                </w:p>
              </w:tc>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t>3332439</w:t>
                  </w:r>
                </w:p>
              </w:tc>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hyperlink r:id="rId4" w:history="1">
                    <w:r>
                      <w:rPr>
                        <w:rStyle w:val="Hyperlink"/>
                      </w:rPr>
                      <w:t>CDE Browser</w:t>
                    </w:r>
                  </w:hyperlink>
                </w:p>
              </w:tc>
            </w:tr>
          </w:tbl>
          <w:p w:rsidR="004F0D73" w:rsidRDefault="004F0D73"/>
        </w:tc>
      </w:tr>
      <w:tr w:rsidR="004F0D73">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4F0D73" w:rsidRPr="0075381E" w:rsidRDefault="004F0D73">
            <w:pPr>
              <w:pStyle w:val="NormalWeb"/>
            </w:pPr>
            <w:r w:rsidRPr="0075381E">
              <w:t xml:space="preserve">Morean, M. E., &amp; Corbin, W. R. (2010). Subjective response to alcohol: A critical review of the literature. </w:t>
            </w:r>
            <w:r w:rsidRPr="0075381E">
              <w:rPr>
                <w:i/>
                <w:iCs/>
              </w:rPr>
              <w:t>Alcoholism: Clinical and Experimental Research, 34</w:t>
            </w:r>
            <w:r w:rsidRPr="0075381E">
              <w:t>(3), 385–395.</w:t>
            </w:r>
          </w:p>
          <w:p w:rsidR="004F0D73" w:rsidRPr="0075381E" w:rsidRDefault="004F0D73">
            <w:pPr>
              <w:pStyle w:val="NormalWeb"/>
            </w:pPr>
            <w:r w:rsidRPr="0075381E">
              <w:t xml:space="preserve">Quinn, P. D., &amp; Fromme, K. (2011). Subjective response to alcohol challenge: A quantitative review. </w:t>
            </w:r>
            <w:r w:rsidRPr="0075381E">
              <w:rPr>
                <w:i/>
                <w:iCs/>
              </w:rPr>
              <w:t>Alcoholism: Clinical and Experimental Research, 35</w:t>
            </w:r>
            <w:r w:rsidRPr="0075381E">
              <w:t>(10), 1–12.</w:t>
            </w:r>
          </w:p>
          <w:p w:rsidR="004F0D73" w:rsidRPr="0075381E" w:rsidRDefault="004F0D73">
            <w:pPr>
              <w:pStyle w:val="NormalWeb"/>
            </w:pPr>
            <w:r w:rsidRPr="0075381E">
              <w:t xml:space="preserve">Rueger, S. Y., McNamara, P. J., &amp; King, A. C. (2009). Expanding the utility of the Biphasic Alcohol Effects Scale (BAES) and initial psychometric support for the Brief-BAES (B-BAES). </w:t>
            </w:r>
            <w:r w:rsidRPr="0075381E">
              <w:rPr>
                <w:i/>
                <w:iCs/>
              </w:rPr>
              <w:t>Alcoholism: Clinical and Experimental Research, 33</w:t>
            </w:r>
            <w:r w:rsidRPr="0075381E">
              <w:t>(5), 916–924.</w:t>
            </w:r>
          </w:p>
        </w:tc>
      </w:tr>
      <w:tr w:rsidR="004F0D73">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t>Self-administered questionnaire</w:t>
            </w:r>
          </w:p>
        </w:tc>
      </w:tr>
      <w:tr w:rsidR="004F0D73">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t>None</w:t>
            </w:r>
          </w:p>
        </w:tc>
      </w:tr>
      <w:tr w:rsidR="004F0D73">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23"/>
              <w:gridCol w:w="1065"/>
            </w:tblGrid>
            <w:tr w:rsidR="004F0D7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rPr>
                      <w:rStyle w:val="Strong"/>
                    </w:rPr>
                    <w:t>Required</w:t>
                  </w:r>
                </w:p>
              </w:tc>
            </w:tr>
            <w:tr w:rsidR="004F0D7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t>No</w:t>
                  </w:r>
                </w:p>
              </w:tc>
            </w:tr>
            <w:tr w:rsidR="004F0D7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lastRenderedPageBreak/>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t>No</w:t>
                  </w:r>
                </w:p>
              </w:tc>
            </w:tr>
            <w:tr w:rsidR="004F0D7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t>No</w:t>
                  </w:r>
                </w:p>
              </w:tc>
            </w:tr>
            <w:tr w:rsidR="004F0D7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t>No</w:t>
                  </w:r>
                </w:p>
              </w:tc>
            </w:tr>
          </w:tbl>
          <w:p w:rsidR="004F0D73" w:rsidRDefault="004F0D73"/>
        </w:tc>
      </w:tr>
      <w:tr w:rsidR="004F0D73">
        <w:tc>
          <w:tcPr>
            <w:tcW w:w="0" w:type="auto"/>
            <w:tcBorders>
              <w:top w:val="outset" w:sz="6" w:space="0" w:color="auto"/>
              <w:left w:val="outset" w:sz="6" w:space="0" w:color="auto"/>
              <w:bottom w:val="outset" w:sz="6" w:space="0" w:color="auto"/>
              <w:right w:val="outset" w:sz="6" w:space="0" w:color="auto"/>
            </w:tcBorders>
            <w:vAlign w:val="center"/>
            <w:hideMark/>
          </w:tcPr>
          <w:p w:rsidR="004F0D73" w:rsidRDefault="004F0D73">
            <w:r>
              <w:rPr>
                <w:rStyle w:val="Strong"/>
              </w:rPr>
              <w:lastRenderedPageBreak/>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4F0D73" w:rsidRPr="0075381E" w:rsidRDefault="004F0D73">
            <w:pPr>
              <w:pStyle w:val="NormalWeb"/>
            </w:pPr>
            <w:r w:rsidRPr="0075381E">
              <w:t>The Expert Review Panel has not reviewed this measure yet.</w:t>
            </w:r>
          </w:p>
        </w:tc>
      </w:tr>
    </w:tbl>
    <w:p w:rsidR="004F0D73" w:rsidRDefault="004F0D73"/>
    <w:sectPr w:rsidR="004F0D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81E"/>
    <w:rsid w:val="004F0D73"/>
    <w:rsid w:val="0075381E"/>
    <w:rsid w:val="00C37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D78CA9-513A-4D22-A062-8D96BE96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debrowser.nci.nih.gov/CDEBrowser/search?elementDetails=9&amp;FirstTimer=0&amp;PageId=ElementDetailsGroup&amp;publicId=3332439&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7357</CharactersWithSpaces>
  <SharedDoc>false</SharedDoc>
  <HLinks>
    <vt:vector size="6" baseType="variant">
      <vt:variant>
        <vt:i4>6946943</vt:i4>
      </vt:variant>
      <vt:variant>
        <vt:i4>0</vt:i4>
      </vt:variant>
      <vt:variant>
        <vt:i4>0</vt:i4>
      </vt:variant>
      <vt:variant>
        <vt:i4>5</vt:i4>
      </vt:variant>
      <vt:variant>
        <vt:lpwstr>https://cdebrowser.nci.nih.gov/CDEBrowser/search?elementDetails=9&amp;FirstTimer=0&amp;PageId=ElementDetailsGroup&amp;publicId=3332439&amp;version=1.0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Qin, Ying</cp:lastModifiedBy>
  <cp:revision>2</cp:revision>
  <dcterms:created xsi:type="dcterms:W3CDTF">2016-11-17T19:15:00Z</dcterms:created>
  <dcterms:modified xsi:type="dcterms:W3CDTF">2016-11-17T19:15:00Z</dcterms:modified>
</cp:coreProperties>
</file>