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7758"/>
      </w:tblGrid>
      <w:tr w:rsidR="00E9786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7"/>
                <w:szCs w:val="27"/>
              </w:rPr>
            </w:pPr>
            <w:r w:rsidRPr="000C2F52">
              <w:rPr>
                <w:rStyle w:val="Strong"/>
                <w:rFonts w:ascii="Trebuchet MS" w:hAnsi="Trebuchet MS"/>
                <w:sz w:val="27"/>
                <w:szCs w:val="27"/>
              </w:rPr>
              <w:t>Alcohol - Maximum Drinks in 24 Hours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Protocol Id: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30401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Lifetime measurement of the largest number of drinks respondent has consumed. The PhenX Working Group modified this question from the source so that it is compatible with the Alcohol - Lifetime Use measure. The original question defined the time period for maximum consumption as the last year.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Respondents are only asked this question if they answered "yes" to the Alcohol - Lifetime Use measure. If the respondent is male and reports consuming 5 or more drinks or if the respondent is female and reports consuming 4 or more drinks, then the researcher can extract binge drinking. Alcohol is defined as any type of alcohol (including coolers, beer, </w:t>
            </w:r>
            <w:proofErr w:type="gramStart"/>
            <w:r w:rsidRPr="000C2F52">
              <w:rPr>
                <w:rFonts w:ascii="Trebuchet MS" w:hAnsi="Trebuchet MS"/>
                <w:sz w:val="21"/>
                <w:szCs w:val="21"/>
              </w:rPr>
              <w:t>wine</w:t>
            </w:r>
            <w:proofErr w:type="gramEnd"/>
            <w:r w:rsidRPr="000C2F52">
              <w:rPr>
                <w:rFonts w:ascii="Trebuchet MS" w:hAnsi="Trebuchet MS"/>
                <w:sz w:val="21"/>
                <w:szCs w:val="21"/>
              </w:rPr>
              <w:t>, champagne) and liquor (e.g., whiskey, rum, gin, vodka, scotch, or liqueurs.)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Protocol: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2F52" w:rsidRPr="000C2F52" w:rsidRDefault="000C2F52" w:rsidP="000C2F52">
            <w:pPr>
              <w:numPr>
                <w:ilvl w:val="0"/>
                <w:numId w:val="2"/>
              </w:numPr>
              <w:ind w:left="360"/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</w:pPr>
            <w:r w:rsidRPr="000C2F52"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  <w:t>What was the LARGEST number of drinks that you ever drank in a single day?</w:t>
            </w:r>
            <w:r w:rsidRPr="000C2F52"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  <w:br/>
            </w:r>
          </w:p>
          <w:p w:rsidR="000C2F52" w:rsidRPr="000C2F52" w:rsidRDefault="000C2F52" w:rsidP="000C2F52">
            <w:pPr>
              <w:ind w:left="720"/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</w:pPr>
            <w:r w:rsidRPr="000C2F52"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  <w:t>___ Number</w:t>
            </w:r>
          </w:p>
          <w:p w:rsidR="000C2F52" w:rsidRPr="000C2F52" w:rsidRDefault="000C2F52" w:rsidP="000C2F52">
            <w:pPr>
              <w:ind w:left="720"/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</w:pPr>
            <w:r w:rsidRPr="000C2F52"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  <w:t>[ ] Never drank</w:t>
            </w:r>
          </w:p>
          <w:p w:rsidR="000C2F52" w:rsidRPr="000C2F52" w:rsidRDefault="000C2F52" w:rsidP="000C2F52">
            <w:pPr>
              <w:ind w:left="720"/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</w:pPr>
            <w:r w:rsidRPr="000C2F52"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  <w:t>[ ] Refused</w:t>
            </w:r>
          </w:p>
          <w:p w:rsidR="000C2F52" w:rsidRPr="000C2F52" w:rsidRDefault="000C2F52" w:rsidP="000C2F52">
            <w:pPr>
              <w:ind w:left="720"/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</w:pPr>
            <w:r w:rsidRPr="000C2F52">
              <w:rPr>
                <w:rFonts w:ascii="Trebuchet MS" w:hAnsi="Trebuchet MS"/>
                <w:color w:val="000000"/>
                <w:sz w:val="21"/>
                <w:szCs w:val="21"/>
                <w:lang w:eastAsia="zh-CN"/>
              </w:rPr>
              <w:t>[ ] Don’t know</w:t>
            </w:r>
          </w:p>
          <w:p w:rsidR="000C2F52" w:rsidRPr="000C2F52" w:rsidRDefault="000C2F52" w:rsidP="000C2F52">
            <w:pPr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</w:pPr>
          </w:p>
          <w:p w:rsidR="000C2F52" w:rsidRPr="000C2F52" w:rsidRDefault="000C2F52" w:rsidP="000C2F52">
            <w:pPr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</w:pPr>
          </w:p>
          <w:p w:rsidR="000C2F52" w:rsidRPr="000C2F52" w:rsidRDefault="000C2F52" w:rsidP="000C2F52">
            <w:pPr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</w:pPr>
          </w:p>
          <w:p w:rsidR="000C2F52" w:rsidRPr="000C2F52" w:rsidRDefault="000C2F52" w:rsidP="000C2F52">
            <w:pPr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  <w:t>Notes to interviewer:</w:t>
            </w:r>
          </w:p>
          <w:p w:rsidR="000C2F52" w:rsidRPr="000C2F52" w:rsidRDefault="000C2F52" w:rsidP="000C2F52">
            <w:pPr>
              <w:numPr>
                <w:ilvl w:val="0"/>
                <w:numId w:val="1"/>
              </w:numPr>
              <w:tabs>
                <w:tab w:val="clear" w:pos="750"/>
              </w:tabs>
              <w:ind w:left="720"/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  <w:t>Definition of a standard drink: 1 12oz bottle of beer, 1 glass 4oz non-fortified wine, 1 mixed drink with 1oz liquor.</w:t>
            </w:r>
          </w:p>
          <w:p w:rsidR="000C2F52" w:rsidRPr="000C2F52" w:rsidRDefault="000C2F52" w:rsidP="000C2F52">
            <w:pPr>
              <w:numPr>
                <w:ilvl w:val="0"/>
                <w:numId w:val="1"/>
              </w:numPr>
              <w:tabs>
                <w:tab w:val="clear" w:pos="750"/>
              </w:tabs>
              <w:ind w:left="720"/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  <w:t>If respondent needs a visual reference for the size of a drink, the flashcards from the Wave 1 National Epidemiologic Survey on Alcohol and Related Conditions (NESARC) study are provided below:</w:t>
            </w:r>
          </w:p>
          <w:p w:rsidR="000C2F52" w:rsidRPr="000C2F52" w:rsidRDefault="000C2F52" w:rsidP="000C2F52">
            <w:pPr>
              <w:ind w:left="510"/>
              <w:rPr>
                <w:rFonts w:ascii="Trebuchet MS" w:hAnsi="Trebuchet MS"/>
                <w:i/>
                <w:iCs/>
                <w:color w:val="444444"/>
                <w:sz w:val="21"/>
                <w:szCs w:val="21"/>
              </w:rPr>
            </w:pPr>
          </w:p>
          <w:p w:rsidR="000C2F52" w:rsidRPr="000C2F52" w:rsidRDefault="000C2F52" w:rsidP="000C2F52">
            <w:pPr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2057400" cy="1621155"/>
                  <wp:effectExtent l="0" t="0" r="0" b="0"/>
                  <wp:docPr id="1" name="Picture 1" descr="Card 1A. Cooler ounce size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d 1A. Cooler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2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t>Card 1A. Cooler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2009140" cy="1579245"/>
                  <wp:effectExtent l="0" t="0" r="0" b="1905"/>
                  <wp:docPr id="2" name="Picture 2" descr="Card 1B. Cooler ounce siz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d 1B. Cooler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140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lastRenderedPageBreak/>
              <w:t>Card 1B. Cooler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1995170" cy="1579245"/>
                  <wp:effectExtent l="0" t="0" r="5080" b="1905"/>
                  <wp:docPr id="3" name="Picture 3" descr="Card 1C. Cooler ounce siz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d 1C. Cooler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57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t>Card 1C. Cooler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2098675" cy="1662430"/>
                  <wp:effectExtent l="0" t="0" r="0" b="0"/>
                  <wp:docPr id="4" name="Picture 4" descr="Card 2A. Wine ounce siz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d 2A. Wine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t>Card 2A. Wine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2098675" cy="1655445"/>
                  <wp:effectExtent l="0" t="0" r="0" b="1905"/>
                  <wp:docPr id="5" name="Picture 5" descr="Card 2B. Wine ounce size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rd 2B. Wine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t>Card 2B. Wine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2098675" cy="1655445"/>
                  <wp:effectExtent l="0" t="0" r="0" b="1905"/>
                  <wp:docPr id="6" name="Picture 6" descr="Card 2C. Wine ounce size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d 2C. Wine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867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t>Card 2C. Wine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2140585" cy="1683385"/>
                  <wp:effectExtent l="0" t="0" r="0" b="0"/>
                  <wp:docPr id="7" name="Picture 7" descr="Card 3A. Liquor ounce size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rd 3A. Liquor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58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t>Card 3A. Liquor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2133600" cy="1683385"/>
                  <wp:effectExtent l="0" t="0" r="0" b="0"/>
                  <wp:docPr id="8" name="Picture 8" descr="Card 3B. Liquor ounce size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ard 3B. Liquor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0C2F52">
              <w:rPr>
                <w:rFonts w:ascii="Trebuchet MS" w:hAnsi="Trebuchet MS"/>
                <w:color w:val="444444"/>
                <w:sz w:val="21"/>
                <w:szCs w:val="21"/>
              </w:rPr>
              <w:t>Card 3B. Liquor ounce size</w:t>
            </w:r>
          </w:p>
          <w:p w:rsidR="000C2F52" w:rsidRPr="000C2F52" w:rsidRDefault="000C2F52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</w:p>
          <w:p w:rsidR="000C2F52" w:rsidRPr="000C2F52" w:rsidRDefault="004D064F" w:rsidP="000C2F52">
            <w:pPr>
              <w:jc w:val="center"/>
              <w:rPr>
                <w:rFonts w:ascii="Trebuchet MS" w:hAnsi="Trebuchet MS"/>
                <w:color w:val="444444"/>
                <w:sz w:val="21"/>
                <w:szCs w:val="21"/>
              </w:rPr>
            </w:pPr>
            <w:r>
              <w:rPr>
                <w:rFonts w:ascii="Trebuchet MS" w:hAnsi="Trebuchet MS"/>
                <w:noProof/>
                <w:color w:val="336699"/>
                <w:sz w:val="21"/>
                <w:szCs w:val="21"/>
                <w:bdr w:val="none" w:sz="0" w:space="0" w:color="auto" w:frame="1"/>
              </w:rPr>
              <w:drawing>
                <wp:inline distT="0" distB="0" distL="0" distR="0">
                  <wp:extent cx="2133600" cy="1683385"/>
                  <wp:effectExtent l="0" t="0" r="0" b="0"/>
                  <wp:docPr id="9" name="Picture 9" descr="Card 3C. Liquor ounce size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ard 3C. Liquor ounce si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lastRenderedPageBreak/>
              <w:t>Selection Rationale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The protocol from the Alcohol Use Disorder and Associated Disabilities Interview Schedule (AUDADIS) was chosen because it was used in a large epidemiological study of adults of a wide age range and different ethnicities (Wave 1 included 43,093 Americans; in Wave 2, 34,653 members of the original cohort were reinterviewed). The measures from this survey have been validated and psychometrically tested.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National Institute on Alcohol Abuse and Alcoholism (NIAAA) National Epidemiologic Survey on Alcohol and Related Conditions. Wave 1 (NESARC - WAVE 1). Alcohol Use Disorder and Associated Disabilities Interview Schedule - Diagnostic and Statistical Manual of Mental Disorders. Fourth Edition Version (AUDADIS-IV). Section 2A. Modified question 8c and Flashcard Booklet, Flashcards 13A-C, 16A-C, and 17A-C. </w:t>
            </w:r>
          </w:p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Grant, B. F., Dawson, D. A., Stinson, F. S., Chou, P. S., Kay, W., &amp; Pickering, R. </w:t>
            </w:r>
            <w:r w:rsidRPr="000C2F52">
              <w:rPr>
                <w:rFonts w:ascii="Trebuchet MS" w:hAnsi="Trebuchet MS"/>
                <w:sz w:val="21"/>
                <w:szCs w:val="21"/>
              </w:rPr>
              <w:lastRenderedPageBreak/>
              <w:t xml:space="preserve">(2003). The Alcohol Use Disorder and Associated Disabilities Interview Schedule-IV (AUDADIS-IV): Reliability of alcohol consumption, tobacco use, family history of depression and psychiatric diagnostic modules in a general population sample.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Drug and Alcohol Dependence,</w:t>
            </w:r>
            <w:r w:rsidRPr="000C2F52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71</w:t>
            </w:r>
            <w:r w:rsidRPr="000C2F52">
              <w:rPr>
                <w:rFonts w:ascii="Trebuchet MS" w:hAnsi="Trebuchet MS"/>
                <w:sz w:val="21"/>
                <w:szCs w:val="21"/>
              </w:rPr>
              <w:t>(1), 7-16.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lastRenderedPageBreak/>
              <w:t>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English, Available in other languages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≥18 years of age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Interviewer must be trained and found competent to conduct personal interviews with individuals from the general population. The interviewer should be trained to prompt respondents further if a "don't know" response is provided. 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While the Alcohol Use Disorder and Associated Disabilities Interview Schedule-IV (AUDADIS-IV) instrument was developed for administration by computer, the PhenX Working Group acknowledges that this question can be administered in a noncomputerized format. Hasin et al. (1997) and Grant et al. (1995) used the AUDADIS in paper-and-pencil format, while Grant et al. (2003) obtained data with the computerized format.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Standards: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7"/>
              <w:gridCol w:w="2753"/>
              <w:gridCol w:w="861"/>
              <w:gridCol w:w="1041"/>
            </w:tblGrid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Source</w:t>
                  </w:r>
                </w:p>
              </w:tc>
            </w:tr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Alcohol 24 hours Maximum Consumption Number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2820804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F15909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24" w:history="1">
                    <w:r w:rsidR="00E9786D" w:rsidRPr="000C2F52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CDE Browser</w:t>
                    </w:r>
                  </w:hyperlink>
                </w:p>
              </w:tc>
            </w:tr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Alcohol max drinks 24H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62549-1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F15909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25" w:history="1">
                    <w:r w:rsidR="00E9786D" w:rsidRPr="000C2F52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LOINC</w:t>
                    </w:r>
                  </w:hyperlink>
                </w:p>
              </w:tc>
            </w:tr>
          </w:tbl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General references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Grant, B. F., Dawson, D. A., Stinson, F. S., Chou, P. S., Kay, W., &amp; Pickering, R. (2003). The Alcohol Use Disorder and Associated Disabilities Interview Schedule-IV (AUDADIS-IV): Reliability of alcohol consumption, tobacco use, family history of depression and psychiatric diagnostic modules in a general population sample.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Drug and Alcohol Dependence,</w:t>
            </w:r>
            <w:r w:rsidRPr="000C2F52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71</w:t>
            </w:r>
            <w:r w:rsidRPr="000C2F52">
              <w:rPr>
                <w:rFonts w:ascii="Trebuchet MS" w:hAnsi="Trebuchet MS"/>
                <w:sz w:val="21"/>
                <w:szCs w:val="21"/>
              </w:rPr>
              <w:t>(1), 7-16.</w:t>
            </w:r>
          </w:p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Grant, B. F., Harford, T. C., Dawson, D. A., Chou, P. S., &amp; Pickering, R. P. (1995). The Alcohol Use Disorder and Associated Disabilities Interview Schedule (AUDADIS): Reliability of alcohol and drug modules in a general population sample.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Drug and Alcohol Dependence,</w:t>
            </w:r>
            <w:r w:rsidRPr="000C2F52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39</w:t>
            </w:r>
            <w:r w:rsidRPr="000C2F52">
              <w:rPr>
                <w:rFonts w:ascii="Trebuchet MS" w:hAnsi="Trebuchet MS"/>
                <w:sz w:val="21"/>
                <w:szCs w:val="21"/>
              </w:rPr>
              <w:t>(1), 37-44.</w:t>
            </w:r>
          </w:p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Hasin, D., Carpenter, K. M., McCloud, S., Smith, M., &amp; Grant, B. F. (1997). The Alcohol Use Disorder and Associated Disabilities Interview Schedule (AUDADIS): Reliability of alcohol and drug modules in a clinical sample.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Drug and Alcohol Dependence,</w:t>
            </w:r>
            <w:r w:rsidRPr="000C2F52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44</w:t>
            </w:r>
            <w:r w:rsidRPr="000C2F52">
              <w:rPr>
                <w:rFonts w:ascii="Trebuchet MS" w:hAnsi="Trebuchet MS"/>
                <w:sz w:val="21"/>
                <w:szCs w:val="21"/>
              </w:rPr>
              <w:t>(2-3), 133-141.</w:t>
            </w:r>
          </w:p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 xml:space="preserve">National Institute on Alcohol Abuse and Alcoholism (NIAAA). (2004). </w:t>
            </w:r>
            <w:r w:rsidRPr="000C2F52">
              <w:rPr>
                <w:rFonts w:ascii="Trebuchet MS" w:hAnsi="Trebuchet MS"/>
                <w:i/>
                <w:iCs/>
                <w:sz w:val="21"/>
                <w:szCs w:val="21"/>
              </w:rPr>
              <w:t>NIAAA Newsletter</w:t>
            </w:r>
            <w:r w:rsidRPr="000C2F52">
              <w:rPr>
                <w:rFonts w:ascii="Trebuchet MS" w:hAnsi="Trebuchet MS"/>
                <w:sz w:val="21"/>
                <w:szCs w:val="21"/>
              </w:rPr>
              <w:t xml:space="preserve"> (NIH Publication No. 04-5346).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Protocol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Interviewer-administered questionnaire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Derived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Binge drinking:</w:t>
            </w:r>
          </w:p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Male respondent: 5 or more drinks</w:t>
            </w:r>
          </w:p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Female respondent: 4 or more drinks</w:t>
            </w: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16"/>
              <w:gridCol w:w="996"/>
            </w:tblGrid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Required</w:t>
                  </w:r>
                </w:p>
              </w:tc>
            </w:tr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Major equipment</w:t>
                  </w:r>
                </w:p>
                <w:p w:rsidR="00E9786D" w:rsidRPr="000C2F52" w:rsidRDefault="00E9786D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524AD6"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  <w:t xml:space="preserve">This measure requires a specialized measurement device that may </w:t>
                  </w:r>
                  <w:r w:rsidRPr="00524AD6"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  <w:lastRenderedPageBreak/>
                    <w:t>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>No</w:t>
                  </w:r>
                </w:p>
              </w:tc>
            </w:tr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Default="00E9786D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>Specialized training</w:t>
                  </w:r>
                </w:p>
                <w:p w:rsidR="00F15909" w:rsidRPr="000C2F52" w:rsidRDefault="00F15909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>
                    <w:rPr>
                      <w:rFonts w:ascii="Trebuchet MS" w:hAnsi="Trebuchet MS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No</w:t>
                  </w:r>
                </w:p>
              </w:tc>
            </w:tr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Specialized requirements for biospecimen collection</w:t>
                  </w:r>
                </w:p>
                <w:p w:rsidR="00E9786D" w:rsidRPr="000C2F52" w:rsidRDefault="00E9786D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524AD6"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  <w:t>This protocol requires that blood, urine, etc. be collected from the study participants.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No</w:t>
                  </w:r>
                </w:p>
              </w:tc>
            </w:tr>
            <w:tr w:rsidR="00E9786D" w:rsidRPr="000C2F52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E9786D" w:rsidRPr="000C2F52" w:rsidRDefault="00E9786D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524AD6"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9786D" w:rsidRPr="000C2F52" w:rsidRDefault="00E9786D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0C2F52">
                    <w:rPr>
                      <w:rFonts w:ascii="Trebuchet MS" w:hAnsi="Trebuchet MS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E978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Style w:val="Strong"/>
                <w:rFonts w:ascii="Trebuchet MS" w:hAnsi="Trebuchet MS"/>
                <w:sz w:val="21"/>
                <w:szCs w:val="21"/>
              </w:rPr>
              <w:lastRenderedPageBreak/>
              <w:t>Process and Review: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86D" w:rsidRPr="000C2F52" w:rsidRDefault="00E9786D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0C2F52">
              <w:rPr>
                <w:rFonts w:ascii="Trebuchet MS" w:hAnsi="Trebuchet MS"/>
                <w:sz w:val="21"/>
                <w:szCs w:val="21"/>
              </w:rPr>
              <w:t>The Expert Review Panel has not reviewed this measure yet.</w:t>
            </w:r>
          </w:p>
        </w:tc>
      </w:tr>
    </w:tbl>
    <w:p w:rsidR="00E9786D" w:rsidRDefault="00E9786D"/>
    <w:sectPr w:rsidR="00E97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A527E"/>
    <w:multiLevelType w:val="hybridMultilevel"/>
    <w:tmpl w:val="034CB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C3DC8"/>
    <w:multiLevelType w:val="multilevel"/>
    <w:tmpl w:val="B2CCC568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AE"/>
    <w:rsid w:val="000C2F52"/>
    <w:rsid w:val="004D064F"/>
    <w:rsid w:val="00524AD6"/>
    <w:rsid w:val="00773BAE"/>
    <w:rsid w:val="00E9786D"/>
    <w:rsid w:val="00F1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ImageWindow('toolkit_content/web/atos/Flashcard_1B.jpg','Card%201B.%20Cooler%20ounce%20size');" TargetMode="External"/><Relationship Id="rId13" Type="http://schemas.openxmlformats.org/officeDocument/2006/relationships/image" Target="media/image4.jpeg"/><Relationship Id="rId18" Type="http://schemas.openxmlformats.org/officeDocument/2006/relationships/hyperlink" Target="javascript:openImageWindow('toolkit_content/web/atos/Flashcard_3A.jpg','Card%203A.%20Liquor%20ounce%20size');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javascript:openImageWindow('toolkit_content/web/atos/Flashcard_2A.jpg','Card%202A.%20Wine%20ounce%20size');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s.details.loinc.org/LOINC/62549-1.html?sections=Web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ImageWindow('toolkit_content/web/atos/Flashcard_2C.jpg','Card%202C.%20Wine%20ounce%20size');" TargetMode="External"/><Relationship Id="rId20" Type="http://schemas.openxmlformats.org/officeDocument/2006/relationships/hyperlink" Target="javascript:openImageWindow('toolkit_content/web/atos/Flashcard_3B.jpg','Card%203B.%20Liquor%20ounce%20size'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openImageWindow('toolkit_content/web/atos/Flashcard_1A.jpg','Card%201A.%20Cooler%20ounce%20size');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cdebrowser.nci.nih.gov/CDEBrowser/search?elementDetails=9&amp;FirstTimer=0&amp;PageId=ElementDetailsGroup&amp;publicId=2820804&amp;version=1.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javascript:openImageWindow('toolkit_content/web/atos/Flashcard_1C.jpg','Card%201C.%20Cooler%20ounce%20size');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javascript:openImageWindow('toolkit_content/web/atos/Flashcard_2B.jpg','Card%202B.%20Wine%20ounce%20size');" TargetMode="External"/><Relationship Id="rId22" Type="http://schemas.openxmlformats.org/officeDocument/2006/relationships/hyperlink" Target="javascript:openImageWindow('toolkit_content/web/atos/Flashcard_3C.jpg','Card%203C.%20Liquor%20ounce%20size')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5999</CharactersWithSpaces>
  <SharedDoc>false</SharedDoc>
  <HLinks>
    <vt:vector size="66" baseType="variant">
      <vt:variant>
        <vt:i4>7536751</vt:i4>
      </vt:variant>
      <vt:variant>
        <vt:i4>57</vt:i4>
      </vt:variant>
      <vt:variant>
        <vt:i4>0</vt:i4>
      </vt:variant>
      <vt:variant>
        <vt:i4>5</vt:i4>
      </vt:variant>
      <vt:variant>
        <vt:lpwstr>http://s.details.loinc.org/LOINC/62549-1.html?sections=Web</vt:lpwstr>
      </vt:variant>
      <vt:variant>
        <vt:lpwstr/>
      </vt:variant>
      <vt:variant>
        <vt:i4>7012469</vt:i4>
      </vt:variant>
      <vt:variant>
        <vt:i4>54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https://cdebrowser.nci.nih.gov/CDEBrowser/search?elementDetails=9&amp;FirstTimer=0&amp;PageId=ElementDetailsGroup&amp;publicId=2820804&amp;version=1.0</vt:lpwstr>
      </vt:variant>
      <vt:variant>
        <vt:lpwstr/>
      </vt:variant>
      <vt:variant>
        <vt:i4>3670132</vt:i4>
      </vt:variant>
      <vt:variant>
        <vt:i4>48</vt:i4>
      </vt:variant>
      <vt:variant>
        <vt:i4>0</vt:i4>
      </vt:variant>
      <vt:variant>
        <vt:i4>5</vt:i4>
      </vt:variant>
      <vt:variant>
        <vt:lpwstr>javascript:openImageWindow('toolkit_content/web/atos/Flashcard_3C.jpg','Card 3C. Liquor ounce size');</vt:lpwstr>
      </vt:variant>
      <vt:variant>
        <vt:lpwstr/>
      </vt:variant>
      <vt:variant>
        <vt:i4>3670132</vt:i4>
      </vt:variant>
      <vt:variant>
        <vt:i4>42</vt:i4>
      </vt:variant>
      <vt:variant>
        <vt:i4>0</vt:i4>
      </vt:variant>
      <vt:variant>
        <vt:i4>5</vt:i4>
      </vt:variant>
      <vt:variant>
        <vt:lpwstr>javascript:openImageWindow('toolkit_content/web/atos/Flashcard_3B.jpg','Card 3B. Liquor ounce size');</vt:lpwstr>
      </vt:variant>
      <vt:variant>
        <vt:lpwstr/>
      </vt:variant>
      <vt:variant>
        <vt:i4>3670132</vt:i4>
      </vt:variant>
      <vt:variant>
        <vt:i4>36</vt:i4>
      </vt:variant>
      <vt:variant>
        <vt:i4>0</vt:i4>
      </vt:variant>
      <vt:variant>
        <vt:i4>5</vt:i4>
      </vt:variant>
      <vt:variant>
        <vt:lpwstr>javascript:openImageWindow('toolkit_content/web/atos/Flashcard_3A.jpg','Card 3A. Liquor ounce size');</vt:lpwstr>
      </vt:variant>
      <vt:variant>
        <vt:lpwstr/>
      </vt:variant>
      <vt:variant>
        <vt:i4>5439510</vt:i4>
      </vt:variant>
      <vt:variant>
        <vt:i4>30</vt:i4>
      </vt:variant>
      <vt:variant>
        <vt:i4>0</vt:i4>
      </vt:variant>
      <vt:variant>
        <vt:i4>5</vt:i4>
      </vt:variant>
      <vt:variant>
        <vt:lpwstr>javascript:openImageWindow('toolkit_content/web/atos/Flashcard_2C.jpg','Card 2C. Wine ounce size');</vt:lpwstr>
      </vt:variant>
      <vt:variant>
        <vt:lpwstr/>
      </vt:variant>
      <vt:variant>
        <vt:i4>5439510</vt:i4>
      </vt:variant>
      <vt:variant>
        <vt:i4>24</vt:i4>
      </vt:variant>
      <vt:variant>
        <vt:i4>0</vt:i4>
      </vt:variant>
      <vt:variant>
        <vt:i4>5</vt:i4>
      </vt:variant>
      <vt:variant>
        <vt:lpwstr>javascript:openImageWindow('toolkit_content/web/atos/Flashcard_2B.jpg','Card 2B. Wine ounce size');</vt:lpwstr>
      </vt:variant>
      <vt:variant>
        <vt:lpwstr/>
      </vt:variant>
      <vt:variant>
        <vt:i4>5439510</vt:i4>
      </vt:variant>
      <vt:variant>
        <vt:i4>18</vt:i4>
      </vt:variant>
      <vt:variant>
        <vt:i4>0</vt:i4>
      </vt:variant>
      <vt:variant>
        <vt:i4>5</vt:i4>
      </vt:variant>
      <vt:variant>
        <vt:lpwstr>javascript:openImageWindow('toolkit_content/web/atos/Flashcard_2A.jpg','Card 2A. Wine ounce size');</vt:lpwstr>
      </vt:variant>
      <vt:variant>
        <vt:lpwstr/>
      </vt:variant>
      <vt:variant>
        <vt:i4>2293867</vt:i4>
      </vt:variant>
      <vt:variant>
        <vt:i4>12</vt:i4>
      </vt:variant>
      <vt:variant>
        <vt:i4>0</vt:i4>
      </vt:variant>
      <vt:variant>
        <vt:i4>5</vt:i4>
      </vt:variant>
      <vt:variant>
        <vt:lpwstr>javascript:openImageWindow('toolkit_content/web/atos/Flashcard_1C.jpg','Card 1C. Cooler ounce size');</vt:lpwstr>
      </vt:variant>
      <vt:variant>
        <vt:lpwstr/>
      </vt:variant>
      <vt:variant>
        <vt:i4>2293867</vt:i4>
      </vt:variant>
      <vt:variant>
        <vt:i4>6</vt:i4>
      </vt:variant>
      <vt:variant>
        <vt:i4>0</vt:i4>
      </vt:variant>
      <vt:variant>
        <vt:i4>5</vt:i4>
      </vt:variant>
      <vt:variant>
        <vt:lpwstr>javascript:openImageWindow('toolkit_content/web/atos/Flashcard_1B.jpg','Card 1B. Cooler ounce size');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javascript:openImageWindow('toolkit_content/web/atos/Flashcard_1A.jpg','Card 1A. Cooler ounce size');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Hwang, Stephen</dc:creator>
  <cp:lastModifiedBy>Hwang, Stephen</cp:lastModifiedBy>
  <cp:revision>4</cp:revision>
  <dcterms:created xsi:type="dcterms:W3CDTF">2017-12-06T17:57:00Z</dcterms:created>
  <dcterms:modified xsi:type="dcterms:W3CDTF">2017-12-06T18:02:00Z</dcterms:modified>
</cp:coreProperties>
</file>