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6DA4FA" Type="http://schemas.openxmlformats.org/officeDocument/2006/relationships/officeDocument" Target="/word/document.xml" /><Relationship Id="coreR1F6DA4F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Borders>
          <w:top w:val="single" w:sz="6" w:space="0" w:shadow="0" w:frame="0"/>
          <w:left w:val="single" w:sz="6" w:space="0" w:shadow="0" w:frame="0"/>
          <w:bottom w:val="single" w:sz="6" w:space="0" w:shadow="0" w:frame="0"/>
          <w:right w:val="single" w:sz="6" w:space="0" w:shadow="0" w:frame="0"/>
          <w:insideH w:val="none" w:sz="0" w:space="0" w:shadow="0" w:frame="0"/>
          <w:insideV w:val="none" w:sz="0" w:space="0" w:shadow="0" w:fram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Domain: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Speech and Hearing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Measure: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Vertigo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Definition: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This measure is a questionnaire to assess perceived disability due to dizziness.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Purpose: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This measure can be used to assess perceived disability due to dizziness in order to determine the presence of vestibular system disease such as vertigo. Vertigo is a key component of Meniere's disease, an inner ear disorder that can affect balance.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Essential PhenX Measures: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Medication Inventory</w:t>
              <w:br w:type="textWrapping"/>
              <w:t>Current Age</w:t>
              <w:br w:type="textWrapping"/>
              <w:t>Blood Pressure (Adult/Primary)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Related PhenX Measures: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Collections: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Quality of Life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Keywords: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Dizziness Handicap Inventory, DHI, Vertigo, Vestibular system disease, Speech and Hearing</w:t>
            </w:r>
          </w:p>
        </w:tc>
      </w:tr>
    </w:tbl>
    <w:p>
      <w:pPr>
        <w:pStyle w:val="P1"/>
        <w:spacing w:after="240" w:afterAutospacing="0"/>
      </w:pPr>
    </w:p>
    <w:tbl>
      <w:tblPr>
        <w:tblStyle w:val="T2"/>
        <w:tblW w:w="0" w:type="auto"/>
        <w:tblBorders>
          <w:top w:val="single" w:sz="6" w:space="0" w:shadow="0" w:frame="0"/>
          <w:left w:val="single" w:sz="6" w:space="0" w:shadow="0" w:frame="0"/>
          <w:bottom w:val="single" w:sz="6" w:space="0" w:shadow="0" w:frame="0"/>
          <w:right w:val="single" w:sz="6" w:space="0" w:shadow="0" w:frame="0"/>
          <w:insideH w:val="none" w:sz="0" w:space="0" w:shadow="0" w:frame="0"/>
          <w:insideV w:val="none" w:sz="0" w:space="0" w:shadow="0" w:fram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Protocol Release Date: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October 8, 2010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PhenX Protocol Name: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Vertigo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Protocol Name from Source: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This section will be completed when reviewed by an Expert Review Panel.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Description: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The Dizziness Handicap Inventory (DHI) assesses perceived disability due to dizziness (i.e., vertigo). This 25-item self-administered questionnaire contains three subscales which cover the areas of function, emotion, and physical aspects. Points from each subscale can be combined to assign a total score, or they can be combined by subscale.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Specific Instructions: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None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Protocol: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pStyle w:val="P1"/>
              <w:rPr>
                <w:rStyle w:val="C3"/>
              </w:rPr>
            </w:pPr>
            <w:r>
              <w:rPr>
                <w:rStyle w:val="C3"/>
              </w:rPr>
              <w:t>Dizziness Handicap Inventory</w:t>
            </w:r>
          </w:p>
          <w:p>
            <w:pPr>
              <w:pStyle w:val="P1"/>
              <w:rPr>
                <w:rStyle w:val="C3"/>
              </w:rPr>
            </w:pPr>
            <w:r>
              <w:rPr>
                <w:rStyle w:val="C3"/>
              </w:rPr>
              <w:t xml:space="preserve">Instructions: </w:t>
            </w:r>
            <w:r>
              <w:t xml:space="preserve">The purpose of this scale is to identify difficulties that you may be experiencing because of dizziness or unsteadiness. Please answer "yes," "no," or "sometimes" to each question. </w:t>
            </w:r>
            <w:r>
              <w:rPr>
                <w:rStyle w:val="C3"/>
                <w:i w:val="1"/>
              </w:rPr>
              <w:t>Answer each question as it applies to your dizziness or unsteadiness only.</w:t>
            </w:r>
          </w:p>
          <w:p>
            <w:pPr>
              <w:pStyle w:val="P1"/>
            </w:pPr>
            <w:r>
              <w:t>1. Does looking up increase your problem?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2. Because of your problem, do you feel frustrated?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3. Because of your problem, do you restrict your travel for business or recreation?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4. Does walking down the aisle of a supermarket increase your problem?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5. Because of your problem, do you have difficulty getting into or out of bed?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6. Does your problem significantly restrict your participation in social activities such as going out to dinner, the movies, dancing, or to parties?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7. Because of your problem, do you have difficulty reading?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8. Does performing more ambitious activities such as sports or dancing or household chores such as sweeping or putting dishes away increase your problem?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9. Because of your problem, are your afraid to leave your home without having someone accompany you?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10. Because of your problem, are you embarrassed in front of others?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11. Do quick movements of your head increase your problem?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12. Because of your problem, do you avoid heights?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13. Does turning over in bed increase your problem?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14. Because of your problem, is it difficult for you to do strenuous housework or yard work?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15. Because of your problem, are you afraid people may think you are intoxicated?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16. Because of your problem, is it difficult for you to walk by yourself?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17. Does walking down a sidewalk increase your problem?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18. Because of your problem, is it difficult for you to concentrate?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19. Because of your problem, is it difficult for you to walk around the house in the dark?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20. Because of your problem, are you afraid to stay at home alone?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21. Because of your problem, do you feel handicapped?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22. Has your problem placed stress on your relationship with members of your family or friends?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23. Because of your problem, are you depressed?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24. Does your problem interfere with your job or household responsibilities?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</w:pPr>
            <w:r>
              <w:t>25. Does bending over increase your problem?</w:t>
            </w:r>
          </w:p>
          <w:p>
            <w:pPr>
              <w:pStyle w:val="P1"/>
            </w:pPr>
            <w:r>
              <w:t>[ ] 4 Yes</w:t>
            </w:r>
          </w:p>
          <w:p>
            <w:pPr>
              <w:pStyle w:val="P1"/>
            </w:pPr>
            <w:r>
              <w:t>[ ] 0 No</w:t>
            </w:r>
          </w:p>
          <w:p>
            <w:pPr>
              <w:pStyle w:val="P1"/>
            </w:pPr>
            <w:r>
              <w:t>[ ] 2 Sometimes</w:t>
            </w:r>
          </w:p>
          <w:p>
            <w:pPr>
              <w:pStyle w:val="P1"/>
              <w:rPr>
                <w:rStyle w:val="C3"/>
              </w:rPr>
            </w:pPr>
            <w:r>
              <w:rPr>
                <w:rStyle w:val="C3"/>
              </w:rPr>
              <w:t>Scoring</w:t>
            </w:r>
          </w:p>
          <w:p>
            <w:pPr>
              <w:pStyle w:val="P1"/>
            </w:pPr>
            <w:r>
              <w:t>Physical Subscale: questions 1, 4, 8, 11, 13, 17, 25</w:t>
              <w:br w:type="textWrapping"/>
              <w:t>Emotional Subscale: questions 2, 9, 10, 15, 18, 20, 21, 22, 23</w:t>
              <w:br w:type="textWrapping"/>
              <w:t>Functional Subscale: questions 3, 5, 6, 7, 12, 14, 16, 19, 24</w:t>
            </w:r>
          </w:p>
          <w:p>
            <w:pPr>
              <w:pStyle w:val="P1"/>
            </w:pPr>
            <w:r>
              <w:t>A "Yes" response receives 4 points. A "Sometimes" response receives 2 points. A "No" response receives 0 points. The points can be combined to assign a total score, or they can be combined by subscale. The higher the points a patient scores, either total or for a particular subscale, the greater their perceived disability due to dizziness.</w:t>
            </w:r>
          </w:p>
          <w:p>
            <w:pPr>
              <w:pStyle w:val="P1"/>
            </w:pPr>
            <w:r>
              <w:t>Total Score</w:t>
            </w:r>
          </w:p>
          <w:p>
            <w:pPr>
              <w:pStyle w:val="P1"/>
            </w:pPr>
            <w:r>
              <w:t>100–70 = severe perception of having a handicap</w:t>
              <w:br w:type="textWrapping"/>
              <w:t>69–40 = moderate perception of handicap</w:t>
              <w:br w:type="textWrapping"/>
              <w:t>39–0 = low perception of handicap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Selection Rationale: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The Dizziness Handicap Inventory was selected because it is validated, reliable, requires little time to administer, and is easy to score and interpret.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Source: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pStyle w:val="P1"/>
            </w:pPr>
            <w:r>
              <w:t xml:space="preserve">Jacobson, G. P., &amp; Newman, C. W. (1990). The development of the Dizziness Handicap Inventory. </w:t>
            </w:r>
            <w:r>
              <w:rPr>
                <w:i w:val="1"/>
              </w:rPr>
              <w:t>Archives of Otolaryngology Head Surgery, 116,</w:t>
            </w:r>
            <w:r>
              <w:t xml:space="preserve"> 424–427.</w:t>
            </w:r>
          </w:p>
          <w:p>
            <w:pPr>
              <w:pStyle w:val="P1"/>
            </w:pPr>
            <w:r>
              <w:t>Copyright © (1990) American Medical Association. All rights reserved.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Life Stage: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pStyle w:val="P1"/>
            </w:pPr>
            <w:r>
              <w:t>Adult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Language of source: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pStyle w:val="P1"/>
            </w:pPr>
            <w:r>
              <w:t>English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Participant: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Adults ages 18 years and older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Personnel and Training Required: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None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Equipment Needs: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The respondent will need a copy of the questionnaire.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Standards: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tbl>
            <w:tblPr>
              <w:tblStyle w:val="T2"/>
              <w:tblW w:w="0" w:type="auto"/>
              <w:tblCellSpacing w:w="15" w:type="dxa"/>
              <w:tblBorders>
                <w:top w:val="single" w:sz="6" w:space="0" w:shadow="0" w:frame="0"/>
                <w:left w:val="single" w:sz="6" w:space="0" w:shadow="0" w:frame="0"/>
                <w:bottom w:val="single" w:sz="6" w:space="0" w:shadow="0" w:frame="0"/>
                <w:right w:val="single" w:sz="6" w:space="0" w:shadow="0" w:frame="0"/>
                <w:insideH w:val="none" w:sz="0" w:space="0" w:shadow="0" w:frame="0"/>
                <w:insideV w:val="none" w:sz="0" w:space="0" w:shadow="0" w:fram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rPr/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pPr>
                    <w:rPr>
                      <w:rStyle w:val="C3"/>
                    </w:rPr>
                  </w:pPr>
                  <w:r>
                    <w:rPr>
                      <w:rStyle w:val="C3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pPr>
                    <w:rPr>
                      <w:rStyle w:val="C3"/>
                    </w:rPr>
                  </w:pPr>
                  <w:r>
                    <w:rPr>
                      <w:rStyle w:val="C3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pPr>
                    <w:rPr>
                      <w:rStyle w:val="C3"/>
                    </w:rPr>
                  </w:pPr>
                  <w:r>
                    <w:rPr>
                      <w:rStyle w:val="C3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pPr>
                    <w:rPr>
                      <w:rStyle w:val="C3"/>
                    </w:rPr>
                  </w:pPr>
                  <w:r>
                    <w:rPr>
                      <w:rStyle w:val="C3"/>
                    </w:rPr>
                    <w:t>Source</w:t>
                  </w:r>
                </w:p>
              </w:tc>
            </w:tr>
            <w:tr>
              <w:trPr/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Hearing Vertigo Assessment Score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3139297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pPr>
                    <w:rPr>
                      <w:rStyle w:val="C2"/>
                    </w:rPr>
                  </w:pPr>
                  <w:r>
                    <w:fldChar w:fldCharType="begin"/>
                  </w:r>
                  <w:r>
                    <w:instrText xml:space="preserve"> HYPERLINK "https://cdebrowser.nci.nih.gov/CDEBrowser/search?elementDetails=9&amp;FirstTimer=0&amp;PageId=ElementDetailsGroup&amp;publicId=3139297&amp;version=1.0" </w:instrText>
                  </w:r>
                  <w:r>
                    <w:fldChar w:fldCharType="separate"/>
                  </w:r>
                  <w:r>
                    <w:rPr>
                      <w:rStyle w:val="C2"/>
                    </w:rPr>
                    <w:t>CDE Browser</w:t>
                  </w:r>
                  <w:r>
                    <w:rPr>
                      <w:rStyle w:val="C2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Vertigo proto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63000-4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pPr>
                    <w:rPr>
                      <w:rStyle w:val="C2"/>
                    </w:rPr>
                  </w:pPr>
                  <w:r>
                    <w:fldChar w:fldCharType="begin"/>
                  </w:r>
                  <w:r>
                    <w:instrText xml:space="preserve"> HYPERLINK "http://s.details.loinc.org/LOINC/63000-4.html?sections=Web" </w:instrText>
                  </w:r>
                  <w:r>
                    <w:fldChar w:fldCharType="separate"/>
                  </w:r>
                  <w:r>
                    <w:rPr>
                      <w:rStyle w:val="C2"/>
                    </w:rPr>
                    <w:t>LOINC</w:t>
                  </w:r>
                  <w:r>
                    <w:rPr>
                      <w:rStyle w:val="C2"/>
                    </w:rPr>
                    <w:fldChar w:fldCharType="end"/>
                  </w:r>
                </w:p>
              </w:tc>
            </w:tr>
          </w:tbl>
          <w:p>
            <w:pPr>
              <w:rPr>
                <w:rStyle w:val="C2"/>
              </w:rPr>
            </w:pP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General references: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pStyle w:val="P1"/>
            </w:pPr>
            <w:r>
              <w:t>None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Mode of Administration: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Self-administered questionnaire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Derived Variables: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None</w:t>
            </w:r>
          </w:p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Requirements: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tbl>
            <w:tblPr>
              <w:tblStyle w:val="T2"/>
              <w:tblW w:w="0" w:type="auto"/>
              <w:tblCellSpacing w:w="15" w:type="dxa"/>
              <w:tblBorders>
                <w:top w:val="single" w:sz="6" w:space="0" w:shadow="0" w:frame="0"/>
                <w:left w:val="single" w:sz="6" w:space="0" w:shadow="0" w:frame="0"/>
                <w:bottom w:val="single" w:sz="6" w:space="0" w:shadow="0" w:frame="0"/>
                <w:right w:val="single" w:sz="6" w:space="0" w:shadow="0" w:frame="0"/>
                <w:insideH w:val="none" w:sz="0" w:space="0" w:shadow="0" w:frame="0"/>
                <w:insideV w:val="none" w:sz="0" w:space="0" w:shadow="0" w:fram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rPr/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pPr>
                    <w:rPr>
                      <w:rStyle w:val="C3"/>
                    </w:rPr>
                  </w:pPr>
                  <w:r>
                    <w:rPr>
                      <w:rStyle w:val="C3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pPr>
                    <w:rPr>
                      <w:rStyle w:val="C3"/>
                    </w:rPr>
                  </w:pPr>
                  <w:r>
                    <w:rPr>
                      <w:rStyle w:val="C3"/>
                    </w:rPr>
                    <w:t>Required</w:t>
                  </w:r>
                </w:p>
              </w:tc>
            </w:tr>
            <w:tr>
              <w:trPr/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Major equipment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No</w:t>
                  </w:r>
                </w:p>
              </w:tc>
            </w:tr>
            <w:tr>
              <w:trPr/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Specialized training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No</w:t>
                  </w:r>
                </w:p>
              </w:tc>
            </w:tr>
            <w:tr>
              <w:trPr/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Specialized requirements for biospecimen collection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No</w:t>
                  </w:r>
                </w:p>
              </w:tc>
            </w:tr>
            <w:tr>
              <w:trPr/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vAlign w:val="center"/>
                </w:tcPr>
                <w:p>
                  <w:r>
                    <w:t>No</w:t>
                  </w:r>
                </w:p>
              </w:tc>
            </w:tr>
          </w:tbl>
          <w:p/>
        </w:tc>
      </w:tr>
      <w:tr>
        <w:trPr/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pPr>
              <w:rPr>
                <w:rStyle w:val="C3"/>
              </w:rPr>
            </w:pPr>
            <w:r>
              <w:rPr>
                <w:rStyle w:val="C3"/>
              </w:rPr>
              <w:t>Process and Review:</w:t>
            </w:r>
          </w:p>
        </w:tc>
        <w:tc>
          <w:tcPr>
            <w:tcW w:w="0" w:type="auto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vAlign w:val="center"/>
          </w:tcPr>
          <w:p>
            <w:r>
              <w:t>This section will be completed when reviewed by an Expert Review Panel.</w:t>
            </w:r>
          </w:p>
        </w:tc>
      </w:tr>
    </w:tbl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Normal (Web)"/>
    <w:basedOn w:val="P0"/>
    <w:next w:val="P1"/>
    <w:pPr>
      <w:spacing w:before="100" w:after="100" w:beforeAutospacing="1" w:afterAutospacing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qFormat/>
    <w:rPr>
      <w:b w:val="1"/>
    </w:rPr>
  </w:style>
  <w:style w:type="character" w:styleId="C4">
    <w:name w:val="FollowedHyperlink"/>
    <w:rPr>
      <w:color w:val="800080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Hwang, Stephen</dc:creator>
  <dcterms:created xsi:type="dcterms:W3CDTF">2019-05-14T14:33:00Z</dcterms:created>
  <cp:lastModifiedBy>Hwang, Stephen</cp:lastModifiedBy>
  <dcterms:modified xsi:type="dcterms:W3CDTF">2019-05-14T14:37:24Z</dcterms:modified>
  <cp:revision>3</cp:revision>
</cp:coreProperties>
</file>