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theme/theme1.xml" ContentType="application/vnd.openxmlformats-officedocument.theme+xml"/>
</Types>
</file>

<file path=_rels/.rels>&#65279;<?xml version="1.0" encoding="utf-8"?><Relationships xmlns="http://schemas.openxmlformats.org/package/2006/relationships"><Relationship Id="RB0E400A" Type="http://schemas.openxmlformats.org/officeDocument/2006/relationships/officeDocument" Target="/word/document.xml" /><Relationship Id="coreRB0E400A"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tbl>
      <w:tblPr>
        <w:tblStyle w:val="T2"/>
        <w:tblW w:w="0" w:type="auto"/>
        <w:tblBorders>
          <w:top w:val="single" w:sz="6" w:space="0" w:shadow="0" w:frame="0"/>
          <w:left w:val="single" w:sz="6" w:space="0" w:shadow="0" w:frame="0"/>
          <w:bottom w:val="single" w:sz="6" w:space="0" w:shadow="0" w:frame="0"/>
          <w:right w:val="single" w:sz="6" w:space="0" w:shadow="0" w:frame="0"/>
          <w:insideH w:val="none" w:sz="0" w:space="0" w:shadow="0" w:frame="0"/>
          <w:insideV w:val="none" w:sz="0" w:space="0" w:shadow="0" w:frame="0"/>
        </w:tblBorders>
        <w:tblLayout w:type="autofit"/>
        <w:tblCellMar>
          <w:top w:w="15" w:type="dxa"/>
          <w:left w:w="15" w:type="dxa"/>
          <w:bottom w:w="15" w:type="dxa"/>
          <w:right w:w="15" w:type="dxa"/>
        </w:tblCellMar>
      </w:tblPr>
      <w:tblGrid/>
      <w:tr>
        <w:trPr/>
        <w:tc>
          <w:tcPr>
            <w:tcW w:w="0" w:type="auto"/>
            <w:tcBorders>
              <w:top w:val="single" w:sz="6" w:space="0" w:shadow="0" w:frame="0"/>
              <w:left w:val="single" w:sz="6" w:space="0" w:shadow="0" w:frame="0"/>
              <w:bottom w:val="single" w:sz="6" w:space="0" w:shadow="0" w:frame="0"/>
              <w:right w:val="single" w:sz="6" w:space="0" w:shadow="0" w:frame="0"/>
            </w:tcBorders>
            <w:vAlign w:val="center"/>
          </w:tcPr>
          <w:p>
            <w:pPr>
              <w:rPr>
                <w:rStyle w:val="C3"/>
              </w:rPr>
            </w:pPr>
            <w:r>
              <w:rPr>
                <w:rStyle w:val="C3"/>
              </w:rPr>
              <w:t>Domain:</w:t>
            </w:r>
          </w:p>
        </w:tc>
        <w:tc>
          <w:tcPr>
            <w:tcW w:w="0" w:type="auto"/>
            <w:tcBorders>
              <w:top w:val="single" w:sz="6" w:space="0" w:shadow="0" w:frame="0"/>
              <w:left w:val="single" w:sz="6" w:space="0" w:shadow="0" w:frame="0"/>
              <w:bottom w:val="single" w:sz="6" w:space="0" w:shadow="0" w:frame="0"/>
              <w:right w:val="single" w:sz="6" w:space="0" w:shadow="0" w:frame="0"/>
            </w:tcBorders>
            <w:vAlign w:val="center"/>
          </w:tcPr>
          <w:p>
            <w:r>
              <w:t>Speech and Hearing</w:t>
            </w:r>
          </w:p>
        </w:tc>
      </w:tr>
      <w:tr>
        <w:trPr/>
        <w:tc>
          <w:tcPr>
            <w:tcW w:w="0" w:type="auto"/>
            <w:tcBorders>
              <w:top w:val="single" w:sz="6" w:space="0" w:shadow="0" w:frame="0"/>
              <w:left w:val="single" w:sz="6" w:space="0" w:shadow="0" w:frame="0"/>
              <w:bottom w:val="single" w:sz="6" w:space="0" w:shadow="0" w:frame="0"/>
              <w:right w:val="single" w:sz="6" w:space="0" w:shadow="0" w:frame="0"/>
            </w:tcBorders>
            <w:vAlign w:val="center"/>
          </w:tcPr>
          <w:p>
            <w:pPr>
              <w:rPr>
                <w:rStyle w:val="C3"/>
              </w:rPr>
            </w:pPr>
            <w:r>
              <w:rPr>
                <w:rStyle w:val="C3"/>
              </w:rPr>
              <w:t>Measure:</w:t>
            </w:r>
          </w:p>
        </w:tc>
        <w:tc>
          <w:tcPr>
            <w:tcW w:w="0" w:type="auto"/>
            <w:tcBorders>
              <w:top w:val="single" w:sz="6" w:space="0" w:shadow="0" w:frame="0"/>
              <w:left w:val="single" w:sz="6" w:space="0" w:shadow="0" w:frame="0"/>
              <w:bottom w:val="single" w:sz="6" w:space="0" w:shadow="0" w:frame="0"/>
              <w:right w:val="single" w:sz="6" w:space="0" w:shadow="0" w:frame="0"/>
            </w:tcBorders>
            <w:vAlign w:val="center"/>
          </w:tcPr>
          <w:p>
            <w:r>
              <w:t>Stuttering</w:t>
            </w:r>
          </w:p>
        </w:tc>
      </w:tr>
      <w:tr>
        <w:trPr/>
        <w:tc>
          <w:tcPr>
            <w:tcW w:w="0" w:type="auto"/>
            <w:tcBorders>
              <w:top w:val="single" w:sz="6" w:space="0" w:shadow="0" w:frame="0"/>
              <w:left w:val="single" w:sz="6" w:space="0" w:shadow="0" w:frame="0"/>
              <w:bottom w:val="single" w:sz="6" w:space="0" w:shadow="0" w:frame="0"/>
              <w:right w:val="single" w:sz="6" w:space="0" w:shadow="0" w:frame="0"/>
            </w:tcBorders>
            <w:vAlign w:val="center"/>
          </w:tcPr>
          <w:p>
            <w:pPr>
              <w:rPr>
                <w:rStyle w:val="C3"/>
              </w:rPr>
            </w:pPr>
            <w:r>
              <w:rPr>
                <w:rStyle w:val="C3"/>
              </w:rPr>
              <w:t>Definition:</w:t>
            </w:r>
          </w:p>
        </w:tc>
        <w:tc>
          <w:tcPr>
            <w:tcW w:w="0" w:type="auto"/>
            <w:tcBorders>
              <w:top w:val="single" w:sz="6" w:space="0" w:shadow="0" w:frame="0"/>
              <w:left w:val="single" w:sz="6" w:space="0" w:shadow="0" w:frame="0"/>
              <w:bottom w:val="single" w:sz="6" w:space="0" w:shadow="0" w:frame="0"/>
              <w:right w:val="single" w:sz="6" w:space="0" w:shadow="0" w:frame="0"/>
            </w:tcBorders>
            <w:vAlign w:val="center"/>
          </w:tcPr>
          <w:p>
            <w:r>
              <w:t>This measure assesses the severity of the respondent's stuttering.</w:t>
            </w:r>
          </w:p>
        </w:tc>
      </w:tr>
      <w:tr>
        <w:trPr/>
        <w:tc>
          <w:tcPr>
            <w:tcW w:w="0" w:type="auto"/>
            <w:tcBorders>
              <w:top w:val="single" w:sz="6" w:space="0" w:shadow="0" w:frame="0"/>
              <w:left w:val="single" w:sz="6" w:space="0" w:shadow="0" w:frame="0"/>
              <w:bottom w:val="single" w:sz="6" w:space="0" w:shadow="0" w:frame="0"/>
              <w:right w:val="single" w:sz="6" w:space="0" w:shadow="0" w:frame="0"/>
            </w:tcBorders>
            <w:vAlign w:val="center"/>
          </w:tcPr>
          <w:p>
            <w:pPr>
              <w:rPr>
                <w:rStyle w:val="C3"/>
              </w:rPr>
            </w:pPr>
            <w:r>
              <w:rPr>
                <w:rStyle w:val="C3"/>
              </w:rPr>
              <w:t>Purpose:</w:t>
            </w:r>
          </w:p>
        </w:tc>
        <w:tc>
          <w:tcPr>
            <w:tcW w:w="0" w:type="auto"/>
            <w:tcBorders>
              <w:top w:val="single" w:sz="6" w:space="0" w:shadow="0" w:frame="0"/>
              <w:left w:val="single" w:sz="6" w:space="0" w:shadow="0" w:frame="0"/>
              <w:bottom w:val="single" w:sz="6" w:space="0" w:shadow="0" w:frame="0"/>
              <w:right w:val="single" w:sz="6" w:space="0" w:shadow="0" w:frame="0"/>
            </w:tcBorders>
            <w:vAlign w:val="center"/>
          </w:tcPr>
          <w:p>
            <w:r>
              <w:t>This measure is used to quantify stuttering.</w:t>
            </w:r>
          </w:p>
        </w:tc>
      </w:tr>
      <w:tr>
        <w:trPr/>
        <w:tc>
          <w:tcPr>
            <w:tcW w:w="0" w:type="auto"/>
            <w:tcBorders>
              <w:top w:val="single" w:sz="6" w:space="0" w:shadow="0" w:frame="0"/>
              <w:left w:val="single" w:sz="6" w:space="0" w:shadow="0" w:frame="0"/>
              <w:bottom w:val="single" w:sz="6" w:space="0" w:shadow="0" w:frame="0"/>
              <w:right w:val="single" w:sz="6" w:space="0" w:shadow="0" w:frame="0"/>
            </w:tcBorders>
            <w:vAlign w:val="center"/>
          </w:tcPr>
          <w:p>
            <w:pPr>
              <w:rPr>
                <w:rStyle w:val="C3"/>
              </w:rPr>
            </w:pPr>
            <w:r>
              <w:rPr>
                <w:rStyle w:val="C3"/>
              </w:rPr>
              <w:t>Essential PhenX Measures:</w:t>
            </w:r>
          </w:p>
        </w:tc>
        <w:tc>
          <w:tcPr>
            <w:tcW w:w="0" w:type="auto"/>
            <w:tcBorders>
              <w:top w:val="single" w:sz="6" w:space="0" w:shadow="0" w:frame="0"/>
              <w:left w:val="single" w:sz="6" w:space="0" w:shadow="0" w:frame="0"/>
              <w:bottom w:val="single" w:sz="6" w:space="0" w:shadow="0" w:frame="0"/>
              <w:right w:val="single" w:sz="6" w:space="0" w:shadow="0" w:frame="0"/>
            </w:tcBorders>
            <w:vAlign w:val="center"/>
          </w:tcPr>
          <w:p>
            <w:r>
              <w:t>Current Age</w:t>
            </w:r>
          </w:p>
        </w:tc>
      </w:tr>
      <w:tr>
        <w:trPr/>
        <w:tc>
          <w:tcPr>
            <w:tcW w:w="0" w:type="auto"/>
            <w:tcBorders>
              <w:top w:val="single" w:sz="6" w:space="0" w:shadow="0" w:frame="0"/>
              <w:left w:val="single" w:sz="6" w:space="0" w:shadow="0" w:frame="0"/>
              <w:bottom w:val="single" w:sz="6" w:space="0" w:shadow="0" w:frame="0"/>
              <w:right w:val="single" w:sz="6" w:space="0" w:shadow="0" w:frame="0"/>
            </w:tcBorders>
            <w:vAlign w:val="center"/>
          </w:tcPr>
          <w:p>
            <w:pPr>
              <w:rPr>
                <w:rStyle w:val="C3"/>
              </w:rPr>
            </w:pPr>
            <w:r>
              <w:rPr>
                <w:rStyle w:val="C3"/>
              </w:rPr>
              <w:t>Related PhenX Measures:</w:t>
            </w:r>
          </w:p>
        </w:tc>
        <w:tc>
          <w:tcPr>
            <w:tcW w:w="0" w:type="auto"/>
            <w:tcBorders>
              <w:top w:val="single" w:sz="6" w:space="0" w:shadow="0" w:frame="0"/>
              <w:left w:val="single" w:sz="6" w:space="0" w:shadow="0" w:frame="0"/>
              <w:bottom w:val="single" w:sz="6" w:space="0" w:shadow="0" w:frame="0"/>
              <w:right w:val="single" w:sz="6" w:space="0" w:shadow="0" w:frame="0"/>
            </w:tcBorders>
            <w:vAlign w:val="center"/>
          </w:tcPr>
          <w:p>
            <w:pPr>
              <w:rPr>
                <w:rStyle w:val="C3"/>
              </w:rPr>
            </w:pPr>
          </w:p>
        </w:tc>
      </w:tr>
      <w:tr>
        <w:trPr/>
        <w:tc>
          <w:tcPr>
            <w:tcW w:w="0" w:type="auto"/>
            <w:tcBorders>
              <w:top w:val="single" w:sz="6" w:space="0" w:shadow="0" w:frame="0"/>
              <w:left w:val="single" w:sz="6" w:space="0" w:shadow="0" w:frame="0"/>
              <w:bottom w:val="single" w:sz="6" w:space="0" w:shadow="0" w:frame="0"/>
              <w:right w:val="single" w:sz="6" w:space="0" w:shadow="0" w:frame="0"/>
            </w:tcBorders>
            <w:vAlign w:val="center"/>
          </w:tcPr>
          <w:p>
            <w:pPr>
              <w:rPr>
                <w:rStyle w:val="C3"/>
              </w:rPr>
            </w:pPr>
            <w:r>
              <w:rPr>
                <w:rStyle w:val="C3"/>
              </w:rPr>
              <w:t>Collections:</w:t>
            </w:r>
          </w:p>
        </w:tc>
        <w:tc>
          <w:tcPr>
            <w:tcW w:w="0" w:type="auto"/>
            <w:tcBorders>
              <w:top w:val="single" w:sz="6" w:space="0" w:shadow="0" w:frame="0"/>
              <w:left w:val="single" w:sz="6" w:space="0" w:shadow="0" w:frame="0"/>
              <w:bottom w:val="single" w:sz="6" w:space="0" w:shadow="0" w:frame="0"/>
              <w:right w:val="single" w:sz="6" w:space="0" w:shadow="0" w:frame="0"/>
            </w:tcBorders>
            <w:vAlign w:val="center"/>
          </w:tcPr>
          <w:p>
            <w:pPr>
              <w:rPr>
                <w:rStyle w:val="C3"/>
              </w:rPr>
            </w:pPr>
          </w:p>
        </w:tc>
      </w:tr>
      <w:tr>
        <w:trPr/>
        <w:tc>
          <w:tcPr>
            <w:tcW w:w="0" w:type="auto"/>
            <w:tcBorders>
              <w:top w:val="single" w:sz="6" w:space="0" w:shadow="0" w:frame="0"/>
              <w:left w:val="single" w:sz="6" w:space="0" w:shadow="0" w:frame="0"/>
              <w:bottom w:val="single" w:sz="6" w:space="0" w:shadow="0" w:frame="0"/>
              <w:right w:val="single" w:sz="6" w:space="0" w:shadow="0" w:frame="0"/>
            </w:tcBorders>
            <w:vAlign w:val="center"/>
          </w:tcPr>
          <w:p>
            <w:pPr>
              <w:rPr>
                <w:rStyle w:val="C3"/>
              </w:rPr>
            </w:pPr>
            <w:r>
              <w:rPr>
                <w:rStyle w:val="C3"/>
              </w:rPr>
              <w:t>Keywords:</w:t>
            </w:r>
          </w:p>
        </w:tc>
        <w:tc>
          <w:tcPr>
            <w:tcW w:w="0" w:type="auto"/>
            <w:tcBorders>
              <w:top w:val="single" w:sz="6" w:space="0" w:shadow="0" w:frame="0"/>
              <w:left w:val="single" w:sz="6" w:space="0" w:shadow="0" w:frame="0"/>
              <w:bottom w:val="single" w:sz="6" w:space="0" w:shadow="0" w:frame="0"/>
              <w:right w:val="single" w:sz="6" w:space="0" w:shadow="0" w:frame="0"/>
            </w:tcBorders>
            <w:vAlign w:val="center"/>
          </w:tcPr>
          <w:p>
            <w:r>
              <w:t>Stuttering, SSI-4, Stuttering Severity Instrument, Recorded speech sample, proprietary, Speech and Hearing</w:t>
            </w:r>
          </w:p>
        </w:tc>
      </w:tr>
    </w:tbl>
    <w:p>
      <w:pPr>
        <w:pStyle w:val="P1"/>
        <w:spacing w:after="240" w:afterAutospacing="0"/>
      </w:pPr>
    </w:p>
    <w:tbl>
      <w:tblPr>
        <w:tblStyle w:val="T2"/>
        <w:tblW w:w="0" w:type="auto"/>
        <w:tblBorders>
          <w:top w:val="single" w:sz="6" w:space="0" w:shadow="0" w:frame="0"/>
          <w:left w:val="single" w:sz="6" w:space="0" w:shadow="0" w:frame="0"/>
          <w:bottom w:val="single" w:sz="6" w:space="0" w:shadow="0" w:frame="0"/>
          <w:right w:val="single" w:sz="6" w:space="0" w:shadow="0" w:frame="0"/>
          <w:insideH w:val="none" w:sz="0" w:space="0" w:shadow="0" w:frame="0"/>
          <w:insideV w:val="none" w:sz="0" w:space="0" w:shadow="0" w:frame="0"/>
        </w:tblBorders>
        <w:tblLayout w:type="autofit"/>
        <w:tblCellMar>
          <w:top w:w="15" w:type="dxa"/>
          <w:left w:w="15" w:type="dxa"/>
          <w:bottom w:w="15" w:type="dxa"/>
          <w:right w:w="15" w:type="dxa"/>
        </w:tblCellMar>
      </w:tblPr>
      <w:tblGrid/>
      <w:tr>
        <w:trPr/>
        <w:tc>
          <w:tcPr>
            <w:tcW w:w="0" w:type="auto"/>
            <w:tcBorders>
              <w:top w:val="single" w:sz="6" w:space="0" w:shadow="0" w:frame="0"/>
              <w:left w:val="single" w:sz="6" w:space="0" w:shadow="0" w:frame="0"/>
              <w:bottom w:val="single" w:sz="6" w:space="0" w:shadow="0" w:frame="0"/>
              <w:right w:val="single" w:sz="6" w:space="0" w:shadow="0" w:frame="0"/>
            </w:tcBorders>
            <w:vAlign w:val="center"/>
          </w:tcPr>
          <w:p>
            <w:pPr>
              <w:rPr>
                <w:rStyle w:val="C3"/>
              </w:rPr>
            </w:pPr>
            <w:r>
              <w:rPr>
                <w:rStyle w:val="C3"/>
              </w:rPr>
              <w:t>Protocol Release Date:</w:t>
            </w:r>
          </w:p>
        </w:tc>
        <w:tc>
          <w:tcPr>
            <w:tcW w:w="0" w:type="auto"/>
            <w:tcBorders>
              <w:top w:val="single" w:sz="6" w:space="0" w:shadow="0" w:frame="0"/>
              <w:left w:val="single" w:sz="6" w:space="0" w:shadow="0" w:frame="0"/>
              <w:bottom w:val="single" w:sz="6" w:space="0" w:shadow="0" w:frame="0"/>
              <w:right w:val="single" w:sz="6" w:space="0" w:shadow="0" w:frame="0"/>
            </w:tcBorders>
            <w:vAlign w:val="center"/>
          </w:tcPr>
          <w:p>
            <w:r>
              <w:t>October 8, 2010</w:t>
            </w:r>
          </w:p>
        </w:tc>
      </w:tr>
      <w:tr>
        <w:trPr/>
        <w:tc>
          <w:tcPr>
            <w:tcW w:w="0" w:type="auto"/>
            <w:tcBorders>
              <w:top w:val="single" w:sz="6" w:space="0" w:shadow="0" w:frame="0"/>
              <w:left w:val="single" w:sz="6" w:space="0" w:shadow="0" w:frame="0"/>
              <w:bottom w:val="single" w:sz="6" w:space="0" w:shadow="0" w:frame="0"/>
              <w:right w:val="single" w:sz="6" w:space="0" w:shadow="0" w:frame="0"/>
            </w:tcBorders>
            <w:vAlign w:val="center"/>
          </w:tcPr>
          <w:p>
            <w:pPr>
              <w:rPr>
                <w:rStyle w:val="C3"/>
              </w:rPr>
            </w:pPr>
            <w:r>
              <w:rPr>
                <w:rStyle w:val="C3"/>
              </w:rPr>
              <w:t>PhenX Protocol Name:</w:t>
            </w:r>
          </w:p>
        </w:tc>
        <w:tc>
          <w:tcPr>
            <w:tcW w:w="0" w:type="auto"/>
            <w:tcBorders>
              <w:top w:val="single" w:sz="6" w:space="0" w:shadow="0" w:frame="0"/>
              <w:left w:val="single" w:sz="6" w:space="0" w:shadow="0" w:frame="0"/>
              <w:bottom w:val="single" w:sz="6" w:space="0" w:shadow="0" w:frame="0"/>
              <w:right w:val="single" w:sz="6" w:space="0" w:shadow="0" w:frame="0"/>
            </w:tcBorders>
            <w:vAlign w:val="center"/>
          </w:tcPr>
          <w:p>
            <w:r>
              <w:t>Stuttering</w:t>
            </w:r>
          </w:p>
        </w:tc>
      </w:tr>
      <w:tr>
        <w:trPr/>
        <w:tc>
          <w:tcPr>
            <w:tcW w:w="0" w:type="auto"/>
            <w:tcBorders>
              <w:top w:val="single" w:sz="6" w:space="0" w:shadow="0" w:frame="0"/>
              <w:left w:val="single" w:sz="6" w:space="0" w:shadow="0" w:frame="0"/>
              <w:bottom w:val="single" w:sz="6" w:space="0" w:shadow="0" w:frame="0"/>
              <w:right w:val="single" w:sz="6" w:space="0" w:shadow="0" w:frame="0"/>
            </w:tcBorders>
            <w:vAlign w:val="center"/>
          </w:tcPr>
          <w:p>
            <w:pPr>
              <w:rPr>
                <w:rStyle w:val="C3"/>
              </w:rPr>
            </w:pPr>
            <w:r>
              <w:rPr>
                <w:rStyle w:val="C3"/>
              </w:rPr>
              <w:t>Protocol Name from Source:</w:t>
            </w:r>
          </w:p>
        </w:tc>
        <w:tc>
          <w:tcPr>
            <w:tcW w:w="0" w:type="auto"/>
            <w:tcBorders>
              <w:top w:val="single" w:sz="6" w:space="0" w:shadow="0" w:frame="0"/>
              <w:left w:val="single" w:sz="6" w:space="0" w:shadow="0" w:frame="0"/>
              <w:bottom w:val="single" w:sz="6" w:space="0" w:shadow="0" w:frame="0"/>
              <w:right w:val="single" w:sz="6" w:space="0" w:shadow="0" w:frame="0"/>
            </w:tcBorders>
            <w:vAlign w:val="center"/>
          </w:tcPr>
          <w:p>
            <w:r>
              <w:t>This section will be completed when reviewed by an Expert Review Panel.</w:t>
            </w:r>
          </w:p>
        </w:tc>
      </w:tr>
      <w:tr>
        <w:trPr/>
        <w:tc>
          <w:tcPr>
            <w:tcW w:w="0" w:type="auto"/>
            <w:tcBorders>
              <w:top w:val="single" w:sz="6" w:space="0" w:shadow="0" w:frame="0"/>
              <w:left w:val="single" w:sz="6" w:space="0" w:shadow="0" w:frame="0"/>
              <w:bottom w:val="single" w:sz="6" w:space="0" w:shadow="0" w:frame="0"/>
              <w:right w:val="single" w:sz="6" w:space="0" w:shadow="0" w:frame="0"/>
            </w:tcBorders>
            <w:vAlign w:val="center"/>
          </w:tcPr>
          <w:p>
            <w:pPr>
              <w:rPr>
                <w:rStyle w:val="C3"/>
              </w:rPr>
            </w:pPr>
            <w:r>
              <w:rPr>
                <w:rStyle w:val="C3"/>
              </w:rPr>
              <w:t>Description:</w:t>
            </w:r>
          </w:p>
        </w:tc>
        <w:tc>
          <w:tcPr>
            <w:tcW w:w="0" w:type="auto"/>
            <w:tcBorders>
              <w:top w:val="single" w:sz="6" w:space="0" w:shadow="0" w:frame="0"/>
              <w:left w:val="single" w:sz="6" w:space="0" w:shadow="0" w:frame="0"/>
              <w:bottom w:val="single" w:sz="6" w:space="0" w:shadow="0" w:frame="0"/>
              <w:right w:val="single" w:sz="6" w:space="0" w:shadow="0" w:frame="0"/>
            </w:tcBorders>
            <w:vAlign w:val="center"/>
          </w:tcPr>
          <w:p>
            <w:r>
              <w:t>The Stuttering Severity Instrument - Fourth Edition (SSI-4) is an interviewer-administered test that records a sample of the respondent's speech. The Computerized Scoring of the Stuttering Severity (Version 2; CSSS-2.0) software is provided to facilitate the calculation of frequency and duration of stuttering dysfluencies. The software automatically produces a record of the percentage of syllables stuttered (frequency) and the duration of the three longest stuttering events.</w:t>
            </w:r>
          </w:p>
        </w:tc>
      </w:tr>
      <w:tr>
        <w:trPr/>
        <w:tc>
          <w:tcPr>
            <w:tcW w:w="0" w:type="auto"/>
            <w:tcBorders>
              <w:top w:val="single" w:sz="6" w:space="0" w:shadow="0" w:frame="0"/>
              <w:left w:val="single" w:sz="6" w:space="0" w:shadow="0" w:frame="0"/>
              <w:bottom w:val="single" w:sz="6" w:space="0" w:shadow="0" w:frame="0"/>
              <w:right w:val="single" w:sz="6" w:space="0" w:shadow="0" w:frame="0"/>
            </w:tcBorders>
            <w:vAlign w:val="center"/>
          </w:tcPr>
          <w:p>
            <w:pPr>
              <w:rPr>
                <w:rStyle w:val="C3"/>
              </w:rPr>
            </w:pPr>
            <w:r>
              <w:rPr>
                <w:rStyle w:val="C3"/>
              </w:rPr>
              <w:t>Specific Instructions:</w:t>
            </w:r>
          </w:p>
        </w:tc>
        <w:tc>
          <w:tcPr>
            <w:tcW w:w="0" w:type="auto"/>
            <w:tcBorders>
              <w:top w:val="single" w:sz="6" w:space="0" w:shadow="0" w:frame="0"/>
              <w:left w:val="single" w:sz="6" w:space="0" w:shadow="0" w:frame="0"/>
              <w:bottom w:val="single" w:sz="6" w:space="0" w:shadow="0" w:frame="0"/>
              <w:right w:val="single" w:sz="6" w:space="0" w:shadow="0" w:frame="0"/>
            </w:tcBorders>
            <w:vAlign w:val="center"/>
          </w:tcPr>
          <w:p>
            <w:r>
              <w:t>The Stuttering Severity Instrument - Fourth Edition (SSI-4) is a proprietary protocol and administration requires a licensing agreement from Pro-Ed. Researchers should complete and return an application to testquestion@pro-ed.com</w:t>
            </w:r>
          </w:p>
        </w:tc>
      </w:tr>
      <w:tr>
        <w:trPr/>
        <w:tc>
          <w:tcPr>
            <w:tcW w:w="0" w:type="auto"/>
            <w:tcBorders>
              <w:top w:val="single" w:sz="6" w:space="0" w:shadow="0" w:frame="0"/>
              <w:left w:val="single" w:sz="6" w:space="0" w:shadow="0" w:frame="0"/>
              <w:bottom w:val="single" w:sz="6" w:space="0" w:shadow="0" w:frame="0"/>
              <w:right w:val="single" w:sz="6" w:space="0" w:shadow="0" w:frame="0"/>
            </w:tcBorders>
            <w:vAlign w:val="center"/>
          </w:tcPr>
          <w:p>
            <w:pPr>
              <w:rPr>
                <w:rStyle w:val="C3"/>
              </w:rPr>
            </w:pPr>
            <w:r>
              <w:rPr>
                <w:rStyle w:val="C3"/>
              </w:rPr>
              <w:t>Protocol:</w:t>
            </w:r>
          </w:p>
        </w:tc>
        <w:tc>
          <w:tcPr>
            <w:tcW w:w="0" w:type="auto"/>
            <w:tcBorders>
              <w:top w:val="single" w:sz="6" w:space="0" w:shadow="0" w:frame="0"/>
              <w:left w:val="single" w:sz="6" w:space="0" w:shadow="0" w:frame="0"/>
              <w:bottom w:val="single" w:sz="6" w:space="0" w:shadow="0" w:frame="0"/>
              <w:right w:val="single" w:sz="6" w:space="0" w:shadow="0" w:frame="0"/>
            </w:tcBorders>
            <w:vAlign w:val="center"/>
          </w:tcPr>
          <w:p>
            <w:pPr>
              <w:pStyle w:val="P1"/>
              <w:rPr>
                <w:rStyle w:val="C3"/>
              </w:rPr>
            </w:pPr>
            <w:r>
              <w:rPr>
                <w:rStyle w:val="C3"/>
              </w:rPr>
              <w:t>Summary of the Stuttering Severity Instrument - Fourth Edition</w:t>
            </w:r>
          </w:p>
          <w:p>
            <w:pPr>
              <w:pStyle w:val="P1"/>
            </w:pPr>
            <w:r>
              <w:t>Respondents are asked to describe their job or school and read a short passage (or describe pictures if they cannot read). The examiner records the speech and scores the respondent on stuttering frequency, stuttering duration, and physical concomitants across four categories.</w:t>
            </w:r>
          </w:p>
          <w:p>
            <w:pPr>
              <w:pStyle w:val="P1"/>
              <w:rPr>
                <w:rStyle w:val="C3"/>
              </w:rPr>
            </w:pPr>
            <w:r>
              <w:rPr>
                <w:rStyle w:val="C3"/>
              </w:rPr>
              <w:t>Scoring Instructions</w:t>
            </w:r>
          </w:p>
          <w:p>
            <w:pPr>
              <w:pStyle w:val="P1"/>
            </w:pPr>
            <w:r>
              <w:t>Frequency is expressed in percentage of syllables stuttered and is converted to scale scores of 2–18. Duration is timed to the nearest tenth of a second and is converted to scale scores of 2–18. The four types of physical concomitants are scored and converted to scale scores of 0–20. A total score is obtained from the frequency and duration of stuttering dysfluencies, the score of physical concomitants, and the estimation of speech naturalness. This total score is ranked according to age-specific population norms and is used to assign a verbal descriptor of stuttering severity, ranging from very mild to very severe.</w:t>
            </w:r>
          </w:p>
          <w:p>
            <w:pPr>
              <w:pStyle w:val="P1"/>
            </w:pPr>
            <w:r>
              <w:t>Stuttering Severity Instrument - Fourth Edition (SSI-4). Copyright © 2009 Pro-Ed, Incorporated. All Rights Reserved.</w:t>
            </w:r>
          </w:p>
        </w:tc>
      </w:tr>
      <w:tr>
        <w:trPr/>
        <w:tc>
          <w:tcPr>
            <w:tcW w:w="0" w:type="auto"/>
            <w:tcBorders>
              <w:top w:val="single" w:sz="6" w:space="0" w:shadow="0" w:frame="0"/>
              <w:left w:val="single" w:sz="6" w:space="0" w:shadow="0" w:frame="0"/>
              <w:bottom w:val="single" w:sz="6" w:space="0" w:shadow="0" w:frame="0"/>
              <w:right w:val="single" w:sz="6" w:space="0" w:shadow="0" w:frame="0"/>
            </w:tcBorders>
            <w:vAlign w:val="center"/>
          </w:tcPr>
          <w:p>
            <w:pPr>
              <w:rPr>
                <w:rStyle w:val="C3"/>
              </w:rPr>
            </w:pPr>
            <w:r>
              <w:rPr>
                <w:rStyle w:val="C3"/>
              </w:rPr>
              <w:t>Selection Rationale:</w:t>
            </w:r>
          </w:p>
        </w:tc>
        <w:tc>
          <w:tcPr>
            <w:tcW w:w="0" w:type="auto"/>
            <w:tcBorders>
              <w:top w:val="single" w:sz="6" w:space="0" w:shadow="0" w:frame="0"/>
              <w:left w:val="single" w:sz="6" w:space="0" w:shadow="0" w:frame="0"/>
              <w:bottom w:val="single" w:sz="6" w:space="0" w:shadow="0" w:frame="0"/>
              <w:right w:val="single" w:sz="6" w:space="0" w:shadow="0" w:frame="0"/>
            </w:tcBorders>
            <w:vAlign w:val="center"/>
          </w:tcPr>
          <w:p>
            <w:r>
              <w:t>The Stuttering Severity Instrument - Fourth Edition (SSI-4) was selected because it is a widely used, validated protocol that can be easily administered and includes normed data to assist scoring.</w:t>
            </w:r>
          </w:p>
        </w:tc>
      </w:tr>
      <w:tr>
        <w:trPr/>
        <w:tc>
          <w:tcPr>
            <w:tcW w:w="0" w:type="auto"/>
            <w:tcBorders>
              <w:top w:val="single" w:sz="6" w:space="0" w:shadow="0" w:frame="0"/>
              <w:left w:val="single" w:sz="6" w:space="0" w:shadow="0" w:frame="0"/>
              <w:bottom w:val="single" w:sz="6" w:space="0" w:shadow="0" w:frame="0"/>
              <w:right w:val="single" w:sz="6" w:space="0" w:shadow="0" w:frame="0"/>
            </w:tcBorders>
            <w:vAlign w:val="center"/>
          </w:tcPr>
          <w:p>
            <w:pPr>
              <w:rPr>
                <w:rStyle w:val="C3"/>
              </w:rPr>
            </w:pPr>
            <w:r>
              <w:rPr>
                <w:rStyle w:val="C3"/>
              </w:rPr>
              <w:t>Source:</w:t>
            </w:r>
          </w:p>
        </w:tc>
        <w:tc>
          <w:tcPr>
            <w:tcW w:w="0" w:type="auto"/>
            <w:tcBorders>
              <w:top w:val="single" w:sz="6" w:space="0" w:shadow="0" w:frame="0"/>
              <w:left w:val="single" w:sz="6" w:space="0" w:shadow="0" w:frame="0"/>
              <w:bottom w:val="single" w:sz="6" w:space="0" w:shadow="0" w:frame="0"/>
              <w:right w:val="single" w:sz="6" w:space="0" w:shadow="0" w:frame="0"/>
            </w:tcBorders>
            <w:vAlign w:val="center"/>
          </w:tcPr>
          <w:p>
            <w:pPr>
              <w:pStyle w:val="P1"/>
            </w:pPr>
            <w:r>
              <w:t>Riley, G.D. (2009).</w:t>
            </w:r>
            <w:r>
              <w:rPr>
                <w:rStyle w:val="C4"/>
              </w:rPr>
              <w:t xml:space="preserve"> Stuttering Severity Instrument - Fourth Edition (SSI-4).</w:t>
            </w:r>
            <w:r>
              <w:t xml:space="preserve"> Austin, TX: PRO-ED, Inc.</w:t>
            </w:r>
          </w:p>
          <w:p>
            <w:pPr>
              <w:pStyle w:val="P1"/>
            </w:pPr>
            <w:r>
              <w:t>The Stuttering Severity Instrument - Fourth Edition (SSI-4) is a proprietary instrument and can be obtained through:</w:t>
            </w:r>
          </w:p>
          <w:p>
            <w:pPr>
              <w:pStyle w:val="P1"/>
            </w:pPr>
            <w:r>
              <w:t>Pro-Ed, Inc.</w:t>
              <w:br w:type="textWrapping"/>
              <w:t>Attn: Customer Service 8700 Shoal Creek Boulevard</w:t>
              <w:br w:type="textWrapping"/>
              <w:t>Austin, Texas 78757</w:t>
              <w:br w:type="textWrapping"/>
              <w:t>Telephone: 800-897-3202</w:t>
              <w:br w:type="textWrapping"/>
              <w:t>Email: info@proedinc.com</w:t>
            </w:r>
          </w:p>
        </w:tc>
      </w:tr>
      <w:tr>
        <w:trPr/>
        <w:tc>
          <w:tcPr>
            <w:tcW w:w="0" w:type="auto"/>
            <w:tcBorders>
              <w:top w:val="single" w:sz="6" w:space="0" w:shadow="0" w:frame="0"/>
              <w:left w:val="single" w:sz="6" w:space="0" w:shadow="0" w:frame="0"/>
              <w:bottom w:val="single" w:sz="6" w:space="0" w:shadow="0" w:frame="0"/>
              <w:right w:val="single" w:sz="6" w:space="0" w:shadow="0" w:frame="0"/>
            </w:tcBorders>
            <w:vAlign w:val="center"/>
          </w:tcPr>
          <w:p>
            <w:pPr>
              <w:rPr>
                <w:rStyle w:val="C3"/>
              </w:rPr>
            </w:pPr>
            <w:r>
              <w:rPr>
                <w:rStyle w:val="C3"/>
              </w:rPr>
              <w:t>Life Stage:</w:t>
            </w:r>
          </w:p>
        </w:tc>
        <w:tc>
          <w:tcPr>
            <w:tcW w:w="0" w:type="auto"/>
            <w:tcBorders>
              <w:top w:val="single" w:sz="6" w:space="0" w:shadow="0" w:frame="0"/>
              <w:left w:val="single" w:sz="6" w:space="0" w:shadow="0" w:frame="0"/>
              <w:bottom w:val="single" w:sz="6" w:space="0" w:shadow="0" w:frame="0"/>
              <w:right w:val="single" w:sz="6" w:space="0" w:shadow="0" w:frame="0"/>
            </w:tcBorders>
            <w:vAlign w:val="center"/>
          </w:tcPr>
          <w:p>
            <w:pPr>
              <w:pStyle w:val="P1"/>
            </w:pPr>
            <w:r>
              <w:t>Child</w:t>
              <w:br w:type="textWrapping"/>
              <w:t>Adolescent</w:t>
              <w:br w:type="textWrapping"/>
              <w:t>Adult</w:t>
            </w:r>
          </w:p>
        </w:tc>
      </w:tr>
      <w:tr>
        <w:trPr/>
        <w:tc>
          <w:tcPr>
            <w:tcW w:w="0" w:type="auto"/>
            <w:tcBorders>
              <w:top w:val="single" w:sz="6" w:space="0" w:shadow="0" w:frame="0"/>
              <w:left w:val="single" w:sz="6" w:space="0" w:shadow="0" w:frame="0"/>
              <w:bottom w:val="single" w:sz="6" w:space="0" w:shadow="0" w:frame="0"/>
              <w:right w:val="single" w:sz="6" w:space="0" w:shadow="0" w:frame="0"/>
            </w:tcBorders>
            <w:vAlign w:val="center"/>
          </w:tcPr>
          <w:p>
            <w:pPr>
              <w:rPr>
                <w:rStyle w:val="C3"/>
              </w:rPr>
            </w:pPr>
            <w:r>
              <w:rPr>
                <w:rStyle w:val="C3"/>
              </w:rPr>
              <w:t>Language of source:</w:t>
            </w:r>
          </w:p>
        </w:tc>
        <w:tc>
          <w:tcPr>
            <w:tcW w:w="0" w:type="auto"/>
            <w:tcBorders>
              <w:top w:val="single" w:sz="6" w:space="0" w:shadow="0" w:frame="0"/>
              <w:left w:val="single" w:sz="6" w:space="0" w:shadow="0" w:frame="0"/>
              <w:bottom w:val="single" w:sz="6" w:space="0" w:shadow="0" w:frame="0"/>
              <w:right w:val="single" w:sz="6" w:space="0" w:shadow="0" w:frame="0"/>
            </w:tcBorders>
            <w:vAlign w:val="center"/>
          </w:tcPr>
          <w:p>
            <w:pPr>
              <w:pStyle w:val="P1"/>
            </w:pPr>
            <w:r>
              <w:t>English</w:t>
            </w:r>
          </w:p>
        </w:tc>
      </w:tr>
      <w:tr>
        <w:trPr/>
        <w:tc>
          <w:tcPr>
            <w:tcW w:w="0" w:type="auto"/>
            <w:tcBorders>
              <w:top w:val="single" w:sz="6" w:space="0" w:shadow="0" w:frame="0"/>
              <w:left w:val="single" w:sz="6" w:space="0" w:shadow="0" w:frame="0"/>
              <w:bottom w:val="single" w:sz="6" w:space="0" w:shadow="0" w:frame="0"/>
              <w:right w:val="single" w:sz="6" w:space="0" w:shadow="0" w:frame="0"/>
            </w:tcBorders>
            <w:vAlign w:val="center"/>
          </w:tcPr>
          <w:p>
            <w:pPr>
              <w:rPr>
                <w:rStyle w:val="C3"/>
              </w:rPr>
            </w:pPr>
            <w:r>
              <w:rPr>
                <w:rStyle w:val="C3"/>
              </w:rPr>
              <w:t>Participant:</w:t>
            </w:r>
          </w:p>
        </w:tc>
        <w:tc>
          <w:tcPr>
            <w:tcW w:w="0" w:type="auto"/>
            <w:tcBorders>
              <w:top w:val="single" w:sz="6" w:space="0" w:shadow="0" w:frame="0"/>
              <w:left w:val="single" w:sz="6" w:space="0" w:shadow="0" w:frame="0"/>
              <w:bottom w:val="single" w:sz="6" w:space="0" w:shadow="0" w:frame="0"/>
              <w:right w:val="single" w:sz="6" w:space="0" w:shadow="0" w:frame="0"/>
            </w:tcBorders>
            <w:vAlign w:val="center"/>
          </w:tcPr>
          <w:p>
            <w:r>
              <w:t>Children, adolescents, and adults ages 2 years and older</w:t>
            </w:r>
          </w:p>
        </w:tc>
      </w:tr>
      <w:tr>
        <w:trPr/>
        <w:tc>
          <w:tcPr>
            <w:tcW w:w="0" w:type="auto"/>
            <w:tcBorders>
              <w:top w:val="single" w:sz="6" w:space="0" w:shadow="0" w:frame="0"/>
              <w:left w:val="single" w:sz="6" w:space="0" w:shadow="0" w:frame="0"/>
              <w:bottom w:val="single" w:sz="6" w:space="0" w:shadow="0" w:frame="0"/>
              <w:right w:val="single" w:sz="6" w:space="0" w:shadow="0" w:frame="0"/>
            </w:tcBorders>
            <w:vAlign w:val="center"/>
          </w:tcPr>
          <w:p>
            <w:pPr>
              <w:rPr>
                <w:rStyle w:val="C3"/>
              </w:rPr>
            </w:pPr>
            <w:r>
              <w:rPr>
                <w:rStyle w:val="C3"/>
              </w:rPr>
              <w:t>Personnel and Training Required:</w:t>
            </w:r>
          </w:p>
        </w:tc>
        <w:tc>
          <w:tcPr>
            <w:tcW w:w="0" w:type="auto"/>
            <w:tcBorders>
              <w:top w:val="single" w:sz="6" w:space="0" w:shadow="0" w:frame="0"/>
              <w:left w:val="single" w:sz="6" w:space="0" w:shadow="0" w:frame="0"/>
              <w:bottom w:val="single" w:sz="6" w:space="0" w:shadow="0" w:frame="0"/>
              <w:right w:val="single" w:sz="6" w:space="0" w:shadow="0" w:frame="0"/>
            </w:tcBorders>
            <w:vAlign w:val="center"/>
          </w:tcPr>
          <w:p>
            <w:r>
              <w:t>The Stuttering Severity Instrument - Fourth Edition (SSI-4) can be administered by trained research assistants. Examiners should have formal training in the ethical administration, scoring, and interpretation of clinical assessments. Additionally, investigators are encouraged to have quality control procedures in place to maintain consistency across examiners.</w:t>
            </w:r>
          </w:p>
        </w:tc>
      </w:tr>
      <w:tr>
        <w:trPr/>
        <w:tc>
          <w:tcPr>
            <w:tcW w:w="0" w:type="auto"/>
            <w:tcBorders>
              <w:top w:val="single" w:sz="6" w:space="0" w:shadow="0" w:frame="0"/>
              <w:left w:val="single" w:sz="6" w:space="0" w:shadow="0" w:frame="0"/>
              <w:bottom w:val="single" w:sz="6" w:space="0" w:shadow="0" w:frame="0"/>
              <w:right w:val="single" w:sz="6" w:space="0" w:shadow="0" w:frame="0"/>
            </w:tcBorders>
            <w:vAlign w:val="center"/>
          </w:tcPr>
          <w:p>
            <w:pPr>
              <w:rPr>
                <w:rStyle w:val="C3"/>
              </w:rPr>
            </w:pPr>
            <w:r>
              <w:rPr>
                <w:rStyle w:val="C3"/>
              </w:rPr>
              <w:t>Equipment Needs:</w:t>
            </w:r>
          </w:p>
        </w:tc>
        <w:tc>
          <w:tcPr>
            <w:tcW w:w="0" w:type="auto"/>
            <w:tcBorders>
              <w:top w:val="single" w:sz="6" w:space="0" w:shadow="0" w:frame="0"/>
              <w:left w:val="single" w:sz="6" w:space="0" w:shadow="0" w:frame="0"/>
              <w:bottom w:val="single" w:sz="6" w:space="0" w:shadow="0" w:frame="0"/>
              <w:right w:val="single" w:sz="6" w:space="0" w:shadow="0" w:frame="0"/>
            </w:tcBorders>
            <w:vAlign w:val="center"/>
          </w:tcPr>
          <w:p>
            <w:r>
              <w:t>The interviewer will need a copy of the Stuttering Severity Instrument - Fourth Edition (SSI-4) test record and a frequency computation form as well as audio recording equipment to record the speech sample. The interviewer will also need the Computerized Scoring of Stuttering Severity (CSSS-2.0) software to score the recorded speech sample.</w:t>
            </w:r>
          </w:p>
        </w:tc>
      </w:tr>
      <w:tr>
        <w:trPr/>
        <w:tc>
          <w:tcPr>
            <w:tcW w:w="0" w:type="auto"/>
            <w:tcBorders>
              <w:top w:val="single" w:sz="6" w:space="0" w:shadow="0" w:frame="0"/>
              <w:left w:val="single" w:sz="6" w:space="0" w:shadow="0" w:frame="0"/>
              <w:bottom w:val="single" w:sz="6" w:space="0" w:shadow="0" w:frame="0"/>
              <w:right w:val="single" w:sz="6" w:space="0" w:shadow="0" w:frame="0"/>
            </w:tcBorders>
            <w:vAlign w:val="center"/>
          </w:tcPr>
          <w:p>
            <w:pPr>
              <w:rPr>
                <w:rStyle w:val="C3"/>
              </w:rPr>
            </w:pPr>
            <w:r>
              <w:rPr>
                <w:rStyle w:val="C3"/>
              </w:rPr>
              <w:t>Standards:</w:t>
            </w:r>
          </w:p>
        </w:tc>
        <w:tc>
          <w:tcPr>
            <w:tcW w:w="0" w:type="auto"/>
            <w:tcBorders>
              <w:top w:val="single" w:sz="6" w:space="0" w:shadow="0" w:frame="0"/>
              <w:left w:val="single" w:sz="6" w:space="0" w:shadow="0" w:frame="0"/>
              <w:bottom w:val="single" w:sz="6" w:space="0" w:shadow="0" w:frame="0"/>
              <w:right w:val="single" w:sz="6" w:space="0" w:shadow="0" w:frame="0"/>
            </w:tcBorders>
            <w:vAlign w:val="center"/>
          </w:tcPr>
          <w:tbl>
            <w:tblPr>
              <w:tblStyle w:val="T2"/>
              <w:tblW w:w="0" w:type="auto"/>
              <w:tblCellSpacing w:w="15" w:type="dxa"/>
              <w:tblBorders>
                <w:top w:val="single" w:sz="6" w:space="0" w:shadow="0" w:frame="0"/>
                <w:left w:val="single" w:sz="6" w:space="0" w:shadow="0" w:frame="0"/>
                <w:bottom w:val="single" w:sz="6" w:space="0" w:shadow="0" w:frame="0"/>
                <w:right w:val="single" w:sz="6" w:space="0" w:shadow="0" w:frame="0"/>
                <w:insideH w:val="none" w:sz="0" w:space="0" w:shadow="0" w:frame="0"/>
                <w:insideV w:val="none" w:sz="0" w:space="0" w:shadow="0" w:frame="0"/>
              </w:tblBorders>
              <w:tblLayout w:type="autofit"/>
              <w:tblCellMar>
                <w:top w:w="15" w:type="dxa"/>
                <w:left w:w="15" w:type="dxa"/>
                <w:bottom w:w="15" w:type="dxa"/>
                <w:right w:w="15" w:type="dxa"/>
              </w:tblCellMar>
            </w:tblPr>
            <w:tblGrid/>
            <w:tr>
              <w:trPr/>
              <w:tc>
                <w:tcPr>
                  <w:tcW w:w="0" w:type="auto"/>
                  <w:tcBorders>
                    <w:top w:val="single" w:sz="6" w:space="0" w:shadow="0" w:frame="0"/>
                    <w:left w:val="single" w:sz="6" w:space="0" w:shadow="0" w:frame="0"/>
                    <w:bottom w:val="single" w:sz="6" w:space="0" w:shadow="0" w:frame="0"/>
                    <w:right w:val="single" w:sz="6" w:space="0" w:shadow="0" w:frame="0"/>
                  </w:tcBorders>
                  <w:vAlign w:val="center"/>
                </w:tcPr>
                <w:p>
                  <w:pPr>
                    <w:rPr>
                      <w:rStyle w:val="C3"/>
                    </w:rPr>
                  </w:pPr>
                  <w:r>
                    <w:rPr>
                      <w:rStyle w:val="C3"/>
                    </w:rPr>
                    <w:t>Standard</w:t>
                  </w:r>
                </w:p>
              </w:tc>
              <w:tc>
                <w:tcPr>
                  <w:tcW w:w="0" w:type="auto"/>
                  <w:tcBorders>
                    <w:top w:val="single" w:sz="6" w:space="0" w:shadow="0" w:frame="0"/>
                    <w:left w:val="single" w:sz="6" w:space="0" w:shadow="0" w:frame="0"/>
                    <w:bottom w:val="single" w:sz="6" w:space="0" w:shadow="0" w:frame="0"/>
                    <w:right w:val="single" w:sz="6" w:space="0" w:shadow="0" w:frame="0"/>
                  </w:tcBorders>
                  <w:vAlign w:val="center"/>
                </w:tcPr>
                <w:p>
                  <w:pPr>
                    <w:rPr>
                      <w:rStyle w:val="C3"/>
                    </w:rPr>
                  </w:pPr>
                  <w:r>
                    <w:rPr>
                      <w:rStyle w:val="C3"/>
                    </w:rPr>
                    <w:t>Name</w:t>
                  </w:r>
                </w:p>
              </w:tc>
              <w:tc>
                <w:tcPr>
                  <w:tcW w:w="0" w:type="auto"/>
                  <w:tcBorders>
                    <w:top w:val="single" w:sz="6" w:space="0" w:shadow="0" w:frame="0"/>
                    <w:left w:val="single" w:sz="6" w:space="0" w:shadow="0" w:frame="0"/>
                    <w:bottom w:val="single" w:sz="6" w:space="0" w:shadow="0" w:frame="0"/>
                    <w:right w:val="single" w:sz="6" w:space="0" w:shadow="0" w:frame="0"/>
                  </w:tcBorders>
                  <w:vAlign w:val="center"/>
                </w:tcPr>
                <w:p>
                  <w:pPr>
                    <w:rPr>
                      <w:rStyle w:val="C3"/>
                    </w:rPr>
                  </w:pPr>
                  <w:r>
                    <w:rPr>
                      <w:rStyle w:val="C3"/>
                    </w:rPr>
                    <w:t>ID</w:t>
                  </w:r>
                </w:p>
              </w:tc>
              <w:tc>
                <w:tcPr>
                  <w:tcW w:w="0" w:type="auto"/>
                  <w:tcBorders>
                    <w:top w:val="single" w:sz="6" w:space="0" w:shadow="0" w:frame="0"/>
                    <w:left w:val="single" w:sz="6" w:space="0" w:shadow="0" w:frame="0"/>
                    <w:bottom w:val="single" w:sz="6" w:space="0" w:shadow="0" w:frame="0"/>
                    <w:right w:val="single" w:sz="6" w:space="0" w:shadow="0" w:frame="0"/>
                  </w:tcBorders>
                  <w:vAlign w:val="center"/>
                </w:tcPr>
                <w:p>
                  <w:pPr>
                    <w:rPr>
                      <w:rStyle w:val="C3"/>
                    </w:rPr>
                  </w:pPr>
                  <w:r>
                    <w:rPr>
                      <w:rStyle w:val="C3"/>
                    </w:rPr>
                    <w:t>Source</w:t>
                  </w:r>
                </w:p>
              </w:tc>
            </w:tr>
            <w:tr>
              <w:trPr/>
              <w:tc>
                <w:tcPr>
                  <w:tcW w:w="0" w:type="auto"/>
                  <w:tcBorders>
                    <w:top w:val="single" w:sz="6" w:space="0" w:shadow="0" w:frame="0"/>
                    <w:left w:val="single" w:sz="6" w:space="0" w:shadow="0" w:frame="0"/>
                    <w:bottom w:val="single" w:sz="6" w:space="0" w:shadow="0" w:frame="0"/>
                    <w:right w:val="single" w:sz="6" w:space="0" w:shadow="0" w:frame="0"/>
                  </w:tcBorders>
                  <w:vAlign w:val="center"/>
                </w:tcPr>
                <w:p>
                  <w:r>
                    <w:t>Common Data Element (CDE)</w:t>
                  </w:r>
                </w:p>
              </w:tc>
              <w:tc>
                <w:tcPr>
                  <w:tcW w:w="0" w:type="auto"/>
                  <w:tcBorders>
                    <w:top w:val="single" w:sz="6" w:space="0" w:shadow="0" w:frame="0"/>
                    <w:left w:val="single" w:sz="6" w:space="0" w:shadow="0" w:frame="0"/>
                    <w:bottom w:val="single" w:sz="6" w:space="0" w:shadow="0" w:frame="0"/>
                    <w:right w:val="single" w:sz="6" w:space="0" w:shadow="0" w:frame="0"/>
                  </w:tcBorders>
                  <w:vAlign w:val="center"/>
                </w:tcPr>
                <w:p>
                  <w:r>
                    <w:t>Speech Stutter Assessment Description Text</w:t>
                  </w:r>
                </w:p>
              </w:tc>
              <w:tc>
                <w:tcPr>
                  <w:tcW w:w="0" w:type="auto"/>
                  <w:tcBorders>
                    <w:top w:val="single" w:sz="6" w:space="0" w:shadow="0" w:frame="0"/>
                    <w:left w:val="single" w:sz="6" w:space="0" w:shadow="0" w:frame="0"/>
                    <w:bottom w:val="single" w:sz="6" w:space="0" w:shadow="0" w:frame="0"/>
                    <w:right w:val="single" w:sz="6" w:space="0" w:shadow="0" w:frame="0"/>
                  </w:tcBorders>
                  <w:vAlign w:val="center"/>
                </w:tcPr>
                <w:p>
                  <w:r>
                    <w:t>3139260</w:t>
                  </w:r>
                </w:p>
              </w:tc>
              <w:tc>
                <w:tcPr>
                  <w:tcW w:w="0" w:type="auto"/>
                  <w:tcBorders>
                    <w:top w:val="single" w:sz="6" w:space="0" w:shadow="0" w:frame="0"/>
                    <w:left w:val="single" w:sz="6" w:space="0" w:shadow="0" w:frame="0"/>
                    <w:bottom w:val="single" w:sz="6" w:space="0" w:shadow="0" w:frame="0"/>
                    <w:right w:val="single" w:sz="6" w:space="0" w:shadow="0" w:frame="0"/>
                  </w:tcBorders>
                  <w:vAlign w:val="center"/>
                </w:tcPr>
                <w:p>
                  <w:pPr>
                    <w:rPr>
                      <w:rStyle w:val="C2"/>
                    </w:rPr>
                  </w:pPr>
                  <w:r>
                    <w:fldChar w:fldCharType="begin"/>
                  </w:r>
                  <w:r>
                    <w:instrText xml:space="preserve"> HYPERLINK "https://cdebrowser.nci.nih.gov/CDEBrowser/search?elementDetails=9&amp;FirstTimer=0&amp;PageId=ElementDetailsGroup&amp;publicId=3139260&amp;version=1.0" </w:instrText>
                  </w:r>
                  <w:r>
                    <w:fldChar w:fldCharType="separate"/>
                  </w:r>
                  <w:r>
                    <w:rPr>
                      <w:rStyle w:val="C2"/>
                    </w:rPr>
                    <w:t>CDE Browser</w:t>
                  </w:r>
                  <w:r>
                    <w:rPr>
                      <w:rStyle w:val="C2"/>
                    </w:rPr>
                    <w:fldChar w:fldCharType="end"/>
                  </w:r>
                </w:p>
              </w:tc>
            </w:tr>
            <w:tr>
              <w:trPr/>
              <w:tc>
                <w:tcPr>
                  <w:tcW w:w="0" w:type="auto"/>
                  <w:tcBorders>
                    <w:top w:val="single" w:sz="6" w:space="0" w:shadow="0" w:frame="0"/>
                    <w:left w:val="single" w:sz="6" w:space="0" w:shadow="0" w:frame="0"/>
                    <w:bottom w:val="single" w:sz="6" w:space="0" w:shadow="0" w:frame="0"/>
                    <w:right w:val="single" w:sz="6" w:space="0" w:shadow="0" w:frame="0"/>
                  </w:tcBorders>
                  <w:vAlign w:val="center"/>
                </w:tcPr>
                <w:p>
                  <w:r>
                    <w:t>Logical Observation Identifiers Names and Codes (LOINC)</w:t>
                  </w:r>
                </w:p>
              </w:tc>
              <w:tc>
                <w:tcPr>
                  <w:tcW w:w="0" w:type="auto"/>
                  <w:tcBorders>
                    <w:top w:val="single" w:sz="6" w:space="0" w:shadow="0" w:frame="0"/>
                    <w:left w:val="single" w:sz="6" w:space="0" w:shadow="0" w:frame="0"/>
                    <w:bottom w:val="single" w:sz="6" w:space="0" w:shadow="0" w:frame="0"/>
                    <w:right w:val="single" w:sz="6" w:space="0" w:shadow="0" w:frame="0"/>
                  </w:tcBorders>
                  <w:vAlign w:val="center"/>
                </w:tcPr>
                <w:p>
                  <w:r>
                    <w:t>Stuttering proto</w:t>
                  </w:r>
                </w:p>
              </w:tc>
              <w:tc>
                <w:tcPr>
                  <w:tcW w:w="0" w:type="auto"/>
                  <w:tcBorders>
                    <w:top w:val="single" w:sz="6" w:space="0" w:shadow="0" w:frame="0"/>
                    <w:left w:val="single" w:sz="6" w:space="0" w:shadow="0" w:frame="0"/>
                    <w:bottom w:val="single" w:sz="6" w:space="0" w:shadow="0" w:frame="0"/>
                    <w:right w:val="single" w:sz="6" w:space="0" w:shadow="0" w:frame="0"/>
                  </w:tcBorders>
                  <w:vAlign w:val="center"/>
                </w:tcPr>
                <w:p>
                  <w:r>
                    <w:t>62996-4</w:t>
                  </w:r>
                </w:p>
              </w:tc>
              <w:tc>
                <w:tcPr>
                  <w:tcW w:w="0" w:type="auto"/>
                  <w:tcBorders>
                    <w:top w:val="single" w:sz="6" w:space="0" w:shadow="0" w:frame="0"/>
                    <w:left w:val="single" w:sz="6" w:space="0" w:shadow="0" w:frame="0"/>
                    <w:bottom w:val="single" w:sz="6" w:space="0" w:shadow="0" w:frame="0"/>
                    <w:right w:val="single" w:sz="6" w:space="0" w:shadow="0" w:frame="0"/>
                  </w:tcBorders>
                  <w:vAlign w:val="center"/>
                </w:tcPr>
                <w:p>
                  <w:pPr>
                    <w:rPr>
                      <w:rStyle w:val="C2"/>
                    </w:rPr>
                  </w:pPr>
                  <w:r>
                    <w:fldChar w:fldCharType="begin"/>
                  </w:r>
                  <w:r>
                    <w:instrText xml:space="preserve"> HYPERLINK "http://s.details.loinc.org/LOINC/62996-4.html?sections=Web" </w:instrText>
                  </w:r>
                  <w:r>
                    <w:fldChar w:fldCharType="separate"/>
                  </w:r>
                  <w:r>
                    <w:rPr>
                      <w:rStyle w:val="C2"/>
                    </w:rPr>
                    <w:t>LOINC</w:t>
                  </w:r>
                  <w:r>
                    <w:rPr>
                      <w:rStyle w:val="C2"/>
                    </w:rPr>
                    <w:fldChar w:fldCharType="end"/>
                  </w:r>
                </w:p>
              </w:tc>
            </w:tr>
          </w:tbl>
          <w:p>
            <w:pPr>
              <w:rPr>
                <w:rStyle w:val="C2"/>
              </w:rPr>
            </w:pPr>
          </w:p>
        </w:tc>
      </w:tr>
      <w:tr>
        <w:trPr/>
        <w:tc>
          <w:tcPr>
            <w:tcW w:w="0" w:type="auto"/>
            <w:tcBorders>
              <w:top w:val="single" w:sz="6" w:space="0" w:shadow="0" w:frame="0"/>
              <w:left w:val="single" w:sz="6" w:space="0" w:shadow="0" w:frame="0"/>
              <w:bottom w:val="single" w:sz="6" w:space="0" w:shadow="0" w:frame="0"/>
              <w:right w:val="single" w:sz="6" w:space="0" w:shadow="0" w:frame="0"/>
            </w:tcBorders>
            <w:vAlign w:val="center"/>
          </w:tcPr>
          <w:p>
            <w:pPr>
              <w:rPr>
                <w:rStyle w:val="C3"/>
              </w:rPr>
            </w:pPr>
            <w:r>
              <w:rPr>
                <w:rStyle w:val="C3"/>
              </w:rPr>
              <w:t>General references:</w:t>
            </w:r>
          </w:p>
        </w:tc>
        <w:tc>
          <w:tcPr>
            <w:tcW w:w="0" w:type="auto"/>
            <w:tcBorders>
              <w:top w:val="single" w:sz="6" w:space="0" w:shadow="0" w:frame="0"/>
              <w:left w:val="single" w:sz="6" w:space="0" w:shadow="0" w:frame="0"/>
              <w:bottom w:val="single" w:sz="6" w:space="0" w:shadow="0" w:frame="0"/>
              <w:right w:val="single" w:sz="6" w:space="0" w:shadow="0" w:frame="0"/>
            </w:tcBorders>
            <w:vAlign w:val="center"/>
          </w:tcPr>
          <w:p>
            <w:pPr>
              <w:pStyle w:val="P1"/>
            </w:pPr>
            <w:r>
              <w:t xml:space="preserve">Kang, C., Riazuddin, S., Mundorff, J., Krasnewich, D., Friedman, P., Mullikin, J. C., &amp; Drayna, D. (2010). Mutations in the lysosomal enzyme-targeting pathway and persistent stuttering. </w:t>
            </w:r>
            <w:r>
              <w:rPr>
                <w:i w:val="1"/>
              </w:rPr>
              <w:t>New England Journal of Medicine, 362,</w:t>
            </w:r>
            <w:r>
              <w:t xml:space="preserve"> 677–685.</w:t>
            </w:r>
          </w:p>
        </w:tc>
      </w:tr>
      <w:tr>
        <w:trPr/>
        <w:tc>
          <w:tcPr>
            <w:tcW w:w="0" w:type="auto"/>
            <w:tcBorders>
              <w:top w:val="single" w:sz="6" w:space="0" w:shadow="0" w:frame="0"/>
              <w:left w:val="single" w:sz="6" w:space="0" w:shadow="0" w:frame="0"/>
              <w:bottom w:val="single" w:sz="6" w:space="0" w:shadow="0" w:frame="0"/>
              <w:right w:val="single" w:sz="6" w:space="0" w:shadow="0" w:frame="0"/>
            </w:tcBorders>
            <w:vAlign w:val="center"/>
          </w:tcPr>
          <w:p>
            <w:pPr>
              <w:rPr>
                <w:rStyle w:val="C3"/>
              </w:rPr>
            </w:pPr>
            <w:r>
              <w:rPr>
                <w:rStyle w:val="C3"/>
              </w:rPr>
              <w:t>Mode of Administration:</w:t>
            </w:r>
          </w:p>
        </w:tc>
        <w:tc>
          <w:tcPr>
            <w:tcW w:w="0" w:type="auto"/>
            <w:tcBorders>
              <w:top w:val="single" w:sz="6" w:space="0" w:shadow="0" w:frame="0"/>
              <w:left w:val="single" w:sz="6" w:space="0" w:shadow="0" w:frame="0"/>
              <w:bottom w:val="single" w:sz="6" w:space="0" w:shadow="0" w:frame="0"/>
              <w:right w:val="single" w:sz="6" w:space="0" w:shadow="0" w:frame="0"/>
            </w:tcBorders>
            <w:vAlign w:val="center"/>
          </w:tcPr>
          <w:p>
            <w:r>
              <w:t>Interviewer-administered questionnaire</w:t>
            </w:r>
          </w:p>
        </w:tc>
      </w:tr>
      <w:tr>
        <w:trPr/>
        <w:tc>
          <w:tcPr>
            <w:tcW w:w="0" w:type="auto"/>
            <w:tcBorders>
              <w:top w:val="single" w:sz="6" w:space="0" w:shadow="0" w:frame="0"/>
              <w:left w:val="single" w:sz="6" w:space="0" w:shadow="0" w:frame="0"/>
              <w:bottom w:val="single" w:sz="6" w:space="0" w:shadow="0" w:frame="0"/>
              <w:right w:val="single" w:sz="6" w:space="0" w:shadow="0" w:frame="0"/>
            </w:tcBorders>
            <w:vAlign w:val="center"/>
          </w:tcPr>
          <w:p>
            <w:pPr>
              <w:rPr>
                <w:rStyle w:val="C3"/>
              </w:rPr>
            </w:pPr>
            <w:r>
              <w:rPr>
                <w:rStyle w:val="C3"/>
              </w:rPr>
              <w:t>Derived Variables:</w:t>
            </w:r>
          </w:p>
        </w:tc>
        <w:tc>
          <w:tcPr>
            <w:tcW w:w="0" w:type="auto"/>
            <w:tcBorders>
              <w:top w:val="single" w:sz="6" w:space="0" w:shadow="0" w:frame="0"/>
              <w:left w:val="single" w:sz="6" w:space="0" w:shadow="0" w:frame="0"/>
              <w:bottom w:val="single" w:sz="6" w:space="0" w:shadow="0" w:frame="0"/>
              <w:right w:val="single" w:sz="6" w:space="0" w:shadow="0" w:frame="0"/>
            </w:tcBorders>
            <w:vAlign w:val="center"/>
          </w:tcPr>
          <w:p>
            <w:r>
              <w:t>None</w:t>
            </w:r>
          </w:p>
        </w:tc>
      </w:tr>
      <w:tr>
        <w:trPr/>
        <w:tc>
          <w:tcPr>
            <w:tcW w:w="0" w:type="auto"/>
            <w:tcBorders>
              <w:top w:val="single" w:sz="6" w:space="0" w:shadow="0" w:frame="0"/>
              <w:left w:val="single" w:sz="6" w:space="0" w:shadow="0" w:frame="0"/>
              <w:bottom w:val="single" w:sz="6" w:space="0" w:shadow="0" w:frame="0"/>
              <w:right w:val="single" w:sz="6" w:space="0" w:shadow="0" w:frame="0"/>
            </w:tcBorders>
            <w:vAlign w:val="center"/>
          </w:tcPr>
          <w:p>
            <w:pPr>
              <w:rPr>
                <w:rStyle w:val="C3"/>
              </w:rPr>
            </w:pPr>
            <w:r>
              <w:rPr>
                <w:rStyle w:val="C3"/>
              </w:rPr>
              <w:t>Requirements:</w:t>
            </w:r>
          </w:p>
        </w:tc>
        <w:tc>
          <w:tcPr>
            <w:tcW w:w="0" w:type="auto"/>
            <w:tcBorders>
              <w:top w:val="single" w:sz="6" w:space="0" w:shadow="0" w:frame="0"/>
              <w:left w:val="single" w:sz="6" w:space="0" w:shadow="0" w:frame="0"/>
              <w:bottom w:val="single" w:sz="6" w:space="0" w:shadow="0" w:frame="0"/>
              <w:right w:val="single" w:sz="6" w:space="0" w:shadow="0" w:frame="0"/>
            </w:tcBorders>
            <w:vAlign w:val="center"/>
          </w:tcPr>
          <w:tbl>
            <w:tblPr>
              <w:tblStyle w:val="T2"/>
              <w:tblW w:w="0" w:type="auto"/>
              <w:tblCellSpacing w:w="15" w:type="dxa"/>
              <w:tblBorders>
                <w:top w:val="single" w:sz="6" w:space="0" w:shadow="0" w:frame="0"/>
                <w:left w:val="single" w:sz="6" w:space="0" w:shadow="0" w:frame="0"/>
                <w:bottom w:val="single" w:sz="6" w:space="0" w:shadow="0" w:frame="0"/>
                <w:right w:val="single" w:sz="6" w:space="0" w:shadow="0" w:frame="0"/>
                <w:insideH w:val="none" w:sz="0" w:space="0" w:shadow="0" w:frame="0"/>
                <w:insideV w:val="none" w:sz="0" w:space="0" w:shadow="0" w:frame="0"/>
              </w:tblBorders>
              <w:tblLayout w:type="autofit"/>
              <w:tblCellMar>
                <w:top w:w="15" w:type="dxa"/>
                <w:left w:w="15" w:type="dxa"/>
                <w:bottom w:w="15" w:type="dxa"/>
                <w:right w:w="15" w:type="dxa"/>
              </w:tblCellMar>
            </w:tblPr>
            <w:tblGrid/>
            <w:tr>
              <w:trPr/>
              <w:tc>
                <w:tcPr>
                  <w:tcW w:w="0" w:type="auto"/>
                  <w:tcBorders>
                    <w:top w:val="single" w:sz="6" w:space="0" w:shadow="0" w:frame="0"/>
                    <w:left w:val="single" w:sz="6" w:space="0" w:shadow="0" w:frame="0"/>
                    <w:bottom w:val="single" w:sz="6" w:space="0" w:shadow="0" w:frame="0"/>
                    <w:right w:val="single" w:sz="6" w:space="0" w:shadow="0" w:frame="0"/>
                  </w:tcBorders>
                  <w:vAlign w:val="center"/>
                </w:tcPr>
                <w:p>
                  <w:pPr>
                    <w:rPr>
                      <w:rStyle w:val="C3"/>
                    </w:rPr>
                  </w:pPr>
                  <w:r>
                    <w:rPr>
                      <w:rStyle w:val="C3"/>
                    </w:rPr>
                    <w:t>Requirement Category</w:t>
                  </w:r>
                </w:p>
              </w:tc>
              <w:tc>
                <w:tcPr>
                  <w:tcW w:w="0" w:type="auto"/>
                  <w:tcBorders>
                    <w:top w:val="single" w:sz="6" w:space="0" w:shadow="0" w:frame="0"/>
                    <w:left w:val="single" w:sz="6" w:space="0" w:shadow="0" w:frame="0"/>
                    <w:bottom w:val="single" w:sz="6" w:space="0" w:shadow="0" w:frame="0"/>
                    <w:right w:val="single" w:sz="6" w:space="0" w:shadow="0" w:frame="0"/>
                  </w:tcBorders>
                  <w:vAlign w:val="center"/>
                </w:tcPr>
                <w:p>
                  <w:pPr>
                    <w:rPr>
                      <w:rStyle w:val="C3"/>
                    </w:rPr>
                  </w:pPr>
                  <w:r>
                    <w:rPr>
                      <w:rStyle w:val="C3"/>
                    </w:rPr>
                    <w:t>Required</w:t>
                  </w:r>
                </w:p>
              </w:tc>
            </w:tr>
            <w:tr>
              <w:trPr/>
              <w:tc>
                <w:tcPr>
                  <w:tcW w:w="0" w:type="auto"/>
                  <w:tcBorders>
                    <w:top w:val="single" w:sz="6" w:space="0" w:shadow="0" w:frame="0"/>
                    <w:left w:val="single" w:sz="6" w:space="0" w:shadow="0" w:frame="0"/>
                    <w:bottom w:val="single" w:sz="6" w:space="0" w:shadow="0" w:frame="0"/>
                    <w:right w:val="single" w:sz="6" w:space="0" w:shadow="0" w:frame="0"/>
                  </w:tcBorders>
                  <w:vAlign w:val="center"/>
                </w:tcPr>
                <w:p>
                  <w:r>
                    <w:t>Major equipment</w:t>
                  </w:r>
                </w:p>
              </w:tc>
              <w:tc>
                <w:tcPr>
                  <w:tcW w:w="0" w:type="auto"/>
                  <w:tcBorders>
                    <w:top w:val="single" w:sz="6" w:space="0" w:shadow="0" w:frame="0"/>
                    <w:left w:val="single" w:sz="6" w:space="0" w:shadow="0" w:frame="0"/>
                    <w:bottom w:val="single" w:sz="6" w:space="0" w:shadow="0" w:frame="0"/>
                    <w:right w:val="single" w:sz="6" w:space="0" w:shadow="0" w:frame="0"/>
                  </w:tcBorders>
                  <w:vAlign w:val="center"/>
                </w:tcPr>
                <w:p>
                  <w:r>
                    <w:t>No</w:t>
                  </w:r>
                </w:p>
              </w:tc>
            </w:tr>
            <w:tr>
              <w:trPr/>
              <w:tc>
                <w:tcPr>
                  <w:tcW w:w="0" w:type="auto"/>
                  <w:tcBorders>
                    <w:top w:val="single" w:sz="6" w:space="0" w:shadow="0" w:frame="0"/>
                    <w:left w:val="single" w:sz="6" w:space="0" w:shadow="0" w:frame="0"/>
                    <w:bottom w:val="single" w:sz="6" w:space="0" w:shadow="0" w:frame="0"/>
                    <w:right w:val="single" w:sz="6" w:space="0" w:shadow="0" w:frame="0"/>
                  </w:tcBorders>
                  <w:vAlign w:val="center"/>
                </w:tcPr>
                <w:p>
                  <w:r>
                    <w:t>Specialized training</w:t>
                  </w:r>
                </w:p>
              </w:tc>
              <w:tc>
                <w:tcPr>
                  <w:tcW w:w="0" w:type="auto"/>
                  <w:tcBorders>
                    <w:top w:val="single" w:sz="6" w:space="0" w:shadow="0" w:frame="0"/>
                    <w:left w:val="single" w:sz="6" w:space="0" w:shadow="0" w:frame="0"/>
                    <w:bottom w:val="single" w:sz="6" w:space="0" w:shadow="0" w:frame="0"/>
                    <w:right w:val="single" w:sz="6" w:space="0" w:shadow="0" w:frame="0"/>
                  </w:tcBorders>
                  <w:vAlign w:val="center"/>
                </w:tcPr>
                <w:p>
                  <w:r>
                    <w:t>No</w:t>
                  </w:r>
                </w:p>
              </w:tc>
            </w:tr>
            <w:tr>
              <w:trPr/>
              <w:tc>
                <w:tcPr>
                  <w:tcW w:w="0" w:type="auto"/>
                  <w:tcBorders>
                    <w:top w:val="single" w:sz="6" w:space="0" w:shadow="0" w:frame="0"/>
                    <w:left w:val="single" w:sz="6" w:space="0" w:shadow="0" w:frame="0"/>
                    <w:bottom w:val="single" w:sz="6" w:space="0" w:shadow="0" w:frame="0"/>
                    <w:right w:val="single" w:sz="6" w:space="0" w:shadow="0" w:frame="0"/>
                  </w:tcBorders>
                  <w:vAlign w:val="center"/>
                </w:tcPr>
                <w:p>
                  <w:r>
                    <w:t>Specialized requirements for biospecimen collection</w:t>
                  </w:r>
                </w:p>
              </w:tc>
              <w:tc>
                <w:tcPr>
                  <w:tcW w:w="0" w:type="auto"/>
                  <w:tcBorders>
                    <w:top w:val="single" w:sz="6" w:space="0" w:shadow="0" w:frame="0"/>
                    <w:left w:val="single" w:sz="6" w:space="0" w:shadow="0" w:frame="0"/>
                    <w:bottom w:val="single" w:sz="6" w:space="0" w:shadow="0" w:frame="0"/>
                    <w:right w:val="single" w:sz="6" w:space="0" w:shadow="0" w:frame="0"/>
                  </w:tcBorders>
                  <w:vAlign w:val="center"/>
                </w:tcPr>
                <w:p>
                  <w:r>
                    <w:t>No</w:t>
                  </w:r>
                </w:p>
              </w:tc>
            </w:tr>
            <w:tr>
              <w:trPr/>
              <w:tc>
                <w:tcPr>
                  <w:tcW w:w="0" w:type="auto"/>
                  <w:tcBorders>
                    <w:top w:val="single" w:sz="6" w:space="0" w:shadow="0" w:frame="0"/>
                    <w:left w:val="single" w:sz="6" w:space="0" w:shadow="0" w:frame="0"/>
                    <w:bottom w:val="single" w:sz="6" w:space="0" w:shadow="0" w:frame="0"/>
                    <w:right w:val="single" w:sz="6" w:space="0" w:shadow="0" w:frame="0"/>
                  </w:tcBorders>
                  <w:vAlign w:val="center"/>
                </w:tcPr>
                <w:p>
                  <w:r>
                    <w:t>Average time of greater than 15 minutes in an unaffected individual</w:t>
                  </w:r>
                </w:p>
              </w:tc>
              <w:tc>
                <w:tcPr>
                  <w:tcW w:w="0" w:type="auto"/>
                  <w:tcBorders>
                    <w:top w:val="single" w:sz="6" w:space="0" w:shadow="0" w:frame="0"/>
                    <w:left w:val="single" w:sz="6" w:space="0" w:shadow="0" w:frame="0"/>
                    <w:bottom w:val="single" w:sz="6" w:space="0" w:shadow="0" w:frame="0"/>
                    <w:right w:val="single" w:sz="6" w:space="0" w:shadow="0" w:frame="0"/>
                  </w:tcBorders>
                  <w:vAlign w:val="center"/>
                </w:tcPr>
                <w:p>
                  <w:r>
                    <w:t>Yes</w:t>
                  </w:r>
                </w:p>
              </w:tc>
            </w:tr>
          </w:tbl>
          <w:p/>
        </w:tc>
      </w:tr>
      <w:tr>
        <w:trPr/>
        <w:tc>
          <w:tcPr>
            <w:tcW w:w="0" w:type="auto"/>
            <w:tcBorders>
              <w:top w:val="single" w:sz="6" w:space="0" w:shadow="0" w:frame="0"/>
              <w:left w:val="single" w:sz="6" w:space="0" w:shadow="0" w:frame="0"/>
              <w:bottom w:val="single" w:sz="6" w:space="0" w:shadow="0" w:frame="0"/>
              <w:right w:val="single" w:sz="6" w:space="0" w:shadow="0" w:frame="0"/>
            </w:tcBorders>
            <w:vAlign w:val="center"/>
          </w:tcPr>
          <w:p>
            <w:pPr>
              <w:rPr>
                <w:rStyle w:val="C3"/>
              </w:rPr>
            </w:pPr>
            <w:r>
              <w:rPr>
                <w:rStyle w:val="C3"/>
              </w:rPr>
              <w:t>Process and Review:</w:t>
            </w:r>
          </w:p>
        </w:tc>
        <w:tc>
          <w:tcPr>
            <w:tcW w:w="0" w:type="auto"/>
            <w:tcBorders>
              <w:top w:val="single" w:sz="6" w:space="0" w:shadow="0" w:frame="0"/>
              <w:left w:val="single" w:sz="6" w:space="0" w:shadow="0" w:frame="0"/>
              <w:bottom w:val="single" w:sz="6" w:space="0" w:shadow="0" w:frame="0"/>
              <w:right w:val="single" w:sz="6" w:space="0" w:shadow="0" w:frame="0"/>
            </w:tcBorders>
            <w:vAlign w:val="center"/>
          </w:tcPr>
          <w:p>
            <w:r>
              <w:t>This section will be completed when reviewed by an Expert Review Panel.</w:t>
            </w:r>
          </w:p>
        </w:tc>
      </w:tr>
    </w:tbl>
    <w:p/>
    <w:sectPr>
      <w:type w:val="nextPage"/>
      <w:pgMar w:left="1440" w:right="1440" w:top="1440" w:bottom="1440" w:header="720" w:footer="720" w:gutter="0"/>
      <w:cols w:equalWidth="1" w:space="720"/>
    </w:sectPr>
  </w:body>
</w:document>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efaultTabStop w:val="720"/>
  <w:autoHyphenation w:val="0"/>
  <w:evenAndOddHeaders w:val="0"/>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imes New Roman" w:hAnsi="Times New Roman"/>
        <w:b w:val="0"/>
        <w:i w:val="0"/>
        <w:caps w:val="0"/>
        <w:strike w:val="0"/>
        <w:noProof w:val="0"/>
        <w:vanish w:val="0"/>
        <w:color w:val="auto"/>
        <w:sz w:val="22"/>
        <w:u w:val="none"/>
        <w:shd w:val="clear" w:color="auto" w:fill="auto"/>
        <w:vertAlign w:val="baseline"/>
        <w:lang/>
      </w:rPr>
    </w:rPrDefault>
    <w:pPrDefault>
      <w:pPr>
        <w:keepNext w:val="0"/>
        <w:keepLines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next w:val="P0"/>
    <w:qFormat/>
    <w:pPr/>
    <w:rPr>
      <w:sz w:val="24"/>
    </w:rPr>
  </w:style>
  <w:style w:type="paragraph" w:styleId="P1">
    <w:name w:val="Normal (Web)"/>
    <w:basedOn w:val="P0"/>
    <w:next w:val="P1"/>
    <w:pPr>
      <w:spacing w:before="100" w:after="100" w:beforeAutospacing="1" w:afterAutospacing="1"/>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character" w:styleId="C3">
    <w:name w:val="Strong"/>
    <w:qFormat/>
    <w:rPr>
      <w:b w:val="1"/>
    </w:rPr>
  </w:style>
  <w:style w:type="character" w:styleId="C4">
    <w:name w:val="Emphasis"/>
    <w:qFormat/>
    <w:rPr>
      <w:i w:val="1"/>
    </w:rPr>
  </w:style>
  <w:style w:type="character" w:styleId="C5">
    <w:name w:val="FollowedHyperlink"/>
    <w:rPr>
      <w:color w:val="800080"/>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le Normal"/>
    <w:tblPr>
      <w:tblInd w:w="0" w:type="dxa"/>
      <w:tblCellMar>
        <w:top w:w="0" w:type="dxa"/>
        <w:left w:w="108" w:type="dxa"/>
        <w:bottom w:w="0" w:type="dxa"/>
        <w:right w:w="108" w:type="dxa"/>
      </w:tblCellMar>
    </w:tblPr>
    <w:trPr/>
    <w:tcPr/>
  </w:style>
</w:styles>
</file>

<file path=word/_rels/document.xml.rels>&#65279;<?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Hwang, Stephen</dc:creator>
  <dcterms:created xsi:type="dcterms:W3CDTF">2019-05-14T14:33:00Z</dcterms:created>
  <cp:lastModifiedBy>Hwang, Stephen</cp:lastModifiedBy>
  <dcterms:modified xsi:type="dcterms:W3CDTF">2019-05-14T14:37:24Z</dcterms:modified>
  <cp:revision>3</cp:revision>
</cp:coreProperties>
</file>