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0A9FE34" Type="http://schemas.openxmlformats.org/officeDocument/2006/relationships/officeDocument" Target="/word/document.xml" /><Relationship Id="coreR70A9FE34"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190902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Gastrointestinal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Pain (Type and Intensity)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is a measure to assess pain and related symptoms.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provide a comprehensive measure of pain symptoms and conditions.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Current Age [10101]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December 13, 2010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July 30,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July 30,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Adolescent Pediatric Pain Tool (APPT)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Adolescent Pediatric Pain Tool (APPT)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Adolescent Pediatric Pain Tool; APPT; adolescent; Child; pain; ache; muscle soreness; Muscle stiffness; Pain intensity; Pain measurement; Pain assessment; Pain symptoms; Postoperative; sickle cell disease; SCD; Allergy testing; Orthopedic; Traumatic injury; proprietary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Adolescent Pediatric Pain Tool (APPT) is a multidimensional self-administered pain assessment tool. The APPT is used with children and adolescents to evaluate pain intensity, location, and quality (including sensory, temporal, affective, and evaluative). The APPT can be used with individuals experiencing pain for various reasons, such as sickle cell disease (SCD), postoperative pain, allergy testing, orthopedic, traumatic injury, and cancer. The APPT was modeled after the McGill Pain Questionnaire and is available in English and Spanish.</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Adolescent Pediatric Pain Tool (APPT)</w:t>
            </w:r>
          </w:p>
          <w:p>
            <w:pPr>
              <w:spacing w:before="240" w:after="240"/>
              <w:ind w:left="0" w:right="0"/>
              <w:rPr>
                <w:rFonts w:ascii="Arial" w:hAnsi="Arial"/>
                <w:sz w:val="21"/>
              </w:rPr>
            </w:pPr>
            <w:r>
              <w:rPr>
                <w:rFonts w:ascii="Arial" w:hAnsi="Arial"/>
                <w:sz w:val="21"/>
              </w:rPr>
              <w:t>[img[190900_image_1.png|]]</w:t>
            </w:r>
          </w:p>
          <w:p>
            <w:pPr>
              <w:spacing w:before="240" w:after="240"/>
              <w:ind w:left="0" w:right="0"/>
              <w:rPr>
                <w:rFonts w:ascii="Arial" w:hAnsi="Arial"/>
                <w:sz w:val="21"/>
              </w:rPr>
            </w:pPr>
            <w:r>
              <w:rPr>
                <w:rFonts w:ascii="Arial" w:hAnsi="Arial"/>
                <w:b w:val="1"/>
                <w:sz w:val="21"/>
                <w:u w:val="single"/>
              </w:rPr>
              <w:t xml:space="preserve">Scoring: </w:t>
            </w:r>
          </w:p>
          <w:p>
            <w:pPr>
              <w:spacing w:before="240" w:after="240"/>
              <w:ind w:left="0" w:right="0"/>
              <w:rPr>
                <w:rFonts w:ascii="Arial" w:hAnsi="Arial"/>
                <w:sz w:val="21"/>
              </w:rPr>
            </w:pPr>
            <w:r>
              <w:rPr>
                <w:rFonts w:ascii="Arial" w:hAnsi="Arial"/>
                <w:sz w:val="21"/>
              </w:rPr>
              <w:t xml:space="preserve">The Adolescent Pediatric Pain Tool (APPT) provides five subscale scores: </w:t>
            </w:r>
          </w:p>
          <w:p>
            <w:pPr>
              <w:numPr>
                <w:ilvl w:val="0"/>
                <w:numId w:val="1"/>
              </w:numPr>
              <w:spacing w:before="0" w:after="0"/>
              <w:ind w:hanging="360" w:left="720" w:right="0"/>
              <w:rPr>
                <w:rFonts w:ascii="Arial" w:hAnsi="Arial"/>
                <w:sz w:val="21"/>
              </w:rPr>
            </w:pPr>
            <w:r>
              <w:rPr>
                <w:rFonts w:ascii="Arial" w:hAnsi="Arial"/>
                <w:sz w:val="21"/>
              </w:rPr>
              <w:t>Number of pain sites as a measure of pain location from marks on a body outline.</w:t>
            </w:r>
          </w:p>
          <w:p>
            <w:pPr>
              <w:numPr>
                <w:ilvl w:val="0"/>
                <w:numId w:val="2"/>
              </w:numPr>
              <w:spacing w:before="0" w:after="0"/>
              <w:ind w:hanging="360" w:left="720" w:right="0"/>
              <w:rPr>
                <w:rFonts w:ascii="Arial" w:hAnsi="Arial"/>
                <w:sz w:val="21"/>
              </w:rPr>
            </w:pPr>
            <w:r>
              <w:rPr>
                <w:rFonts w:ascii="Arial" w:hAnsi="Arial"/>
                <w:sz w:val="21"/>
              </w:rPr>
              <w:t>Pain intensity measured by the Word Graphic Rating Scale (WGRS) and anchored by the words no pain, little, medium, large, and worst possible pain.</w:t>
            </w:r>
          </w:p>
          <w:p>
            <w:pPr>
              <w:numPr>
                <w:ilvl w:val="0"/>
                <w:numId w:val="3"/>
              </w:numPr>
              <w:spacing w:before="0" w:after="0"/>
              <w:ind w:hanging="360" w:left="720" w:right="0"/>
              <w:rPr>
                <w:rFonts w:ascii="Arial" w:hAnsi="Arial"/>
                <w:sz w:val="21"/>
              </w:rPr>
            </w:pPr>
            <w:r>
              <w:rPr>
                <w:rFonts w:ascii="Arial" w:hAnsi="Arial"/>
                <w:sz w:val="21"/>
              </w:rPr>
              <w:t>Number of pain quality descriptors, which yields percent scores for the sensory, affective, and evaluative subscales.</w:t>
            </w:r>
          </w:p>
          <w:p>
            <w:pPr>
              <w:numPr>
                <w:ilvl w:val="0"/>
                <w:numId w:val="4"/>
              </w:numPr>
              <w:spacing w:before="0" w:after="0"/>
              <w:ind w:hanging="360" w:left="720" w:right="0"/>
              <w:rPr>
                <w:rFonts w:ascii="Arial" w:hAnsi="Arial"/>
                <w:sz w:val="21"/>
              </w:rPr>
            </w:pPr>
            <w:r>
              <w:rPr>
                <w:rFonts w:ascii="Arial" w:hAnsi="Arial"/>
                <w:sz w:val="21"/>
              </w:rPr>
              <w:t>Number of temporal descriptors, which yields a percent temporal subscale.</w:t>
            </w:r>
          </w:p>
          <w:p>
            <w:pPr>
              <w:numPr>
                <w:ilvl w:val="0"/>
                <w:numId w:val="5"/>
              </w:numPr>
              <w:spacing w:before="0" w:after="0"/>
              <w:ind w:hanging="360" w:left="720" w:right="0"/>
              <w:rPr>
                <w:rFonts w:ascii="Arial" w:hAnsi="Arial"/>
                <w:sz w:val="21"/>
              </w:rPr>
            </w:pPr>
            <w:r>
              <w:rPr>
                <w:rFonts w:ascii="Arial" w:hAnsi="Arial"/>
                <w:sz w:val="21"/>
              </w:rPr>
              <w:t>Percent of total pain quality and temporal descriptors as a total subscale.</w:t>
            </w:r>
          </w:p>
          <w:p>
            <w:pPr>
              <w:spacing w:before="240" w:after="240"/>
              <w:ind w:left="0" w:right="0"/>
              <w:rPr>
                <w:rFonts w:ascii="Arial" w:hAnsi="Arial"/>
                <w:sz w:val="21"/>
              </w:rPr>
            </w:pPr>
            <w:r>
              <w:rPr>
                <w:rFonts w:ascii="Arial" w:hAnsi="Arial"/>
                <w:sz w:val="21"/>
              </w:rPr>
              <w:t>The introduction of the Jacob et al. 2014 publication (see the Source section) contains details and source information regarding the above subscales.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Sickle Cell Disease Neurology, Quality of Life, and Health Services Working Group selected the Adolescent Pediatric Pain Tool (APPT) because it provides a comprehensive evaluation of pain, is well validated, widely used, and has minimal participant burden. </w:t>
            </w:r>
          </w:p>
          <w:p>
            <w:pPr>
              <w:spacing w:before="240" w:after="240"/>
              <w:ind w:left="0" w:right="0"/>
              <w:rPr>
                <w:rFonts w:ascii="Arial" w:hAnsi="Arial"/>
                <w:sz w:val="21"/>
              </w:rPr>
            </w:pPr>
            <w:r>
              <w:rPr>
                <w:rFonts w:ascii="Arial" w:hAnsi="Arial"/>
                <w:sz w:val="21"/>
              </w:rPr>
              <w:t>Additionally, the APPT was modeled after the McGill Pain Questionnaire (see [mlink[190901|Pain (Type and Intensity)-Adults]]). By using both of these tools, investigators can collect comparable pain data in pediatric and adult populations.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Jacob, E., Mack, A. K., Savedra, M., Van Cleve, L., &amp; Wilkie, D. J. (2014). Adolescent pediatric pain tool for multidimensional measurement of pain in children and adolescents. </w:t>
            </w:r>
            <w:r>
              <w:rPr>
                <w:rFonts w:ascii="Arial" w:hAnsi="Arial"/>
                <w:i w:val="1"/>
                <w:sz w:val="21"/>
              </w:rPr>
              <w:t>Pain Management Nursing 15</w:t>
            </w:r>
            <w:r>
              <w:rPr>
                <w:rFonts w:ascii="Arial" w:hAnsi="Arial"/>
                <w:sz w:val="21"/>
              </w:rPr>
              <w:t>(3), 694-706.</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Individuals ages 8 to 17 years old.</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Human Phenotype Ontology</w:t>
                  </w:r>
                </w:p>
              </w:tc>
              <w:tc>
                <w:tcPr>
                  <w:tcW w:w="0" w:type="auto"/>
                  <w:vAlign w:val="center"/>
                </w:tcPr>
                <w:p>
                  <w:pPr>
                    <w:spacing w:before="240" w:after="240"/>
                    <w:ind w:left="0" w:right="0"/>
                    <w:rPr>
                      <w:rFonts w:ascii="Arial" w:hAnsi="Arial"/>
                      <w:sz w:val="21"/>
                    </w:rPr>
                  </w:pPr>
                  <w:r>
                    <w:rPr>
                      <w:rFonts w:ascii="Arial" w:hAnsi="Arial"/>
                      <w:sz w:val="21"/>
                    </w:rPr>
                    <w:t>Abdominal pain</w:t>
                  </w:r>
                </w:p>
              </w:tc>
              <w:tc>
                <w:tcPr>
                  <w:tcW w:w="0" w:type="auto"/>
                  <w:vAlign w:val="center"/>
                </w:tcPr>
                <w:p>
                  <w:pPr>
                    <w:spacing w:before="240" w:after="240"/>
                    <w:ind w:left="0" w:right="0"/>
                    <w:rPr>
                      <w:rFonts w:ascii="Arial" w:hAnsi="Arial"/>
                      <w:sz w:val="21"/>
                    </w:rPr>
                  </w:pPr>
                  <w:r>
                    <w:rPr>
                      <w:rFonts w:ascii="Arial" w:hAnsi="Arial"/>
                      <w:sz w:val="21"/>
                    </w:rPr>
                    <w:t>HP:0002027</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"https://hpo.jax.org/app/browse/term/&lt;INSERT_ID&gt;"</w:instrText>
                  </w:r>
                  <w:r>
                    <w:rPr>
                      <w:rFonts w:ascii="Arial" w:hAnsi="Arial"/>
                      <w:sz w:val="21"/>
                    </w:rPr>
                    <w:fldChar w:fldCharType="separate"/>
                  </w:r>
                  <w:r>
                    <w:rPr>
                      <w:rStyle w:val="C2"/>
                      <w:rFonts w:ascii="Arial" w:hAnsi="Arial"/>
                      <w:sz w:val="21"/>
                    </w:rPr>
                    <w:t>HPO</w:t>
                  </w:r>
                  <w:r>
                    <w:rPr>
                      <w:rStyle w:val="C2"/>
                      <w:rFonts w:ascii="Arial" w:hAnsi="Arial"/>
                      <w:sz w:val="21"/>
                    </w:rPr>
                    <w:fldChar w:fldCharType="end"/>
                  </w:r>
                </w:p>
              </w:tc>
            </w:tr>
            <w:tr>
              <w:tc>
                <w:tcPr>
                  <w:tcW w:w="0" w:type="auto"/>
                  <w:vAlign w:val="center"/>
                </w:tcPr>
                <w:p>
                  <w:pPr>
                    <w:spacing w:before="240" w:after="240"/>
                    <w:ind w:left="0" w:right="0"/>
                    <w:rPr>
                      <w:rFonts w:ascii="Arial" w:hAnsi="Arial"/>
                      <w:sz w:val="21"/>
                    </w:rPr>
                  </w:pPr>
                  <w:r>
                    <w:rPr>
                      <w:rFonts w:ascii="Arial" w:hAnsi="Arial"/>
                      <w:sz w:val="21"/>
                    </w:rPr>
                    <w:t>Human Phenotype Ontology</w:t>
                  </w:r>
                </w:p>
              </w:tc>
              <w:tc>
                <w:tcPr>
                  <w:tcW w:w="0" w:type="auto"/>
                  <w:vAlign w:val="center"/>
                </w:tcPr>
                <w:p>
                  <w:pPr>
                    <w:spacing w:before="240" w:after="240"/>
                    <w:ind w:left="0" w:right="0"/>
                    <w:rPr>
                      <w:rFonts w:ascii="Arial" w:hAnsi="Arial"/>
                      <w:sz w:val="21"/>
                    </w:rPr>
                  </w:pPr>
                  <w:r>
                    <w:rPr>
                      <w:rFonts w:ascii="Arial" w:hAnsi="Arial"/>
                      <w:sz w:val="21"/>
                    </w:rPr>
                    <w:t>Abnormality of the gastrointestinal tract</w:t>
                  </w:r>
                </w:p>
              </w:tc>
              <w:tc>
                <w:tcPr>
                  <w:tcW w:w="0" w:type="auto"/>
                  <w:vAlign w:val="center"/>
                </w:tcPr>
                <w:p>
                  <w:pPr>
                    <w:spacing w:before="240" w:after="240"/>
                    <w:ind w:left="0" w:right="0"/>
                    <w:rPr>
                      <w:rFonts w:ascii="Arial" w:hAnsi="Arial"/>
                      <w:sz w:val="21"/>
                    </w:rPr>
                  </w:pPr>
                  <w:r>
                    <w:rPr>
                      <w:rFonts w:ascii="Arial" w:hAnsi="Arial"/>
                      <w:sz w:val="21"/>
                    </w:rPr>
                    <w:t>HP:0011024</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"https://hpo.jax.org/app/browse/term/&lt;INSERT_ID&gt;"</w:instrText>
                  </w:r>
                  <w:r>
                    <w:rPr>
                      <w:rFonts w:ascii="Arial" w:hAnsi="Arial"/>
                      <w:sz w:val="21"/>
                    </w:rPr>
                    <w:fldChar w:fldCharType="separate"/>
                  </w:r>
                  <w:r>
                    <w:rPr>
                      <w:rStyle w:val="C2"/>
                      <w:rFonts w:ascii="Arial" w:hAnsi="Arial"/>
                      <w:sz w:val="21"/>
                    </w:rPr>
                    <w:t>HPO</w:t>
                  </w:r>
                  <w:r>
                    <w:rPr>
                      <w:rStyle w:val="C2"/>
                      <w:rFonts w:ascii="Arial" w:hAnsi="Arial"/>
                      <w:sz w:val="21"/>
                    </w:rPr>
                    <w:fldChar w:fldCharType="end"/>
                  </w:r>
                </w:p>
              </w:tc>
            </w:tr>
            <w:tr>
              <w:tc>
                <w:tcPr>
                  <w:tcW w:w="0" w:type="auto"/>
                  <w:vAlign w:val="center"/>
                </w:tcPr>
                <w:p>
                  <w:pPr>
                    <w:spacing w:before="240" w:after="240"/>
                    <w:ind w:left="0" w:right="0"/>
                    <w:rPr>
                      <w:rFonts w:ascii="Arial" w:hAnsi="Arial"/>
                      <w:sz w:val="21"/>
                    </w:rPr>
                  </w:pPr>
                  <w:r>
                    <w:rPr>
                      <w:rFonts w:ascii="Arial" w:hAnsi="Arial"/>
                      <w:sz w:val="21"/>
                    </w:rPr>
                    <w:t>caDSR Form</w:t>
                  </w:r>
                </w:p>
              </w:tc>
              <w:tc>
                <w:tcPr>
                  <w:tcW w:w="0" w:type="auto"/>
                  <w:vAlign w:val="center"/>
                </w:tcPr>
                <w:p>
                  <w:pPr>
                    <w:spacing w:before="240" w:after="240"/>
                    <w:ind w:left="0" w:right="0"/>
                    <w:rPr>
                      <w:rFonts w:ascii="Arial" w:hAnsi="Arial"/>
                      <w:sz w:val="21"/>
                    </w:rPr>
                  </w:pPr>
                  <w:r>
                    <w:rPr>
                      <w:rFonts w:ascii="Arial" w:hAnsi="Arial"/>
                      <w:sz w:val="21"/>
                    </w:rPr>
                    <w:t>PhenX PX190902 - Adolescent Pediatric Pain Tool Appt</w:t>
                  </w:r>
                </w:p>
              </w:tc>
              <w:tc>
                <w:tcPr>
                  <w:tcW w:w="0" w:type="auto"/>
                  <w:vAlign w:val="center"/>
                </w:tcPr>
                <w:p>
                  <w:pPr>
                    <w:spacing w:before="240" w:after="240"/>
                    <w:ind w:left="0" w:right="0"/>
                    <w:rPr>
                      <w:rFonts w:ascii="Arial" w:hAnsi="Arial"/>
                      <w:sz w:val="21"/>
                    </w:rPr>
                  </w:pPr>
                  <w:r>
                    <w:rPr>
                      <w:rFonts w:ascii="Arial" w:hAnsi="Arial"/>
                      <w:sz w:val="21"/>
                    </w:rPr>
                    <w:t>6872796</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"https://cadsr.cancer.gov/onedata/dmdirect/NIH/NCI/CO/FRMDD?filter=FRMDD.ITEM_ID=&lt;INSERT_ID&gt;%20and%20ver_nr=1"</w:instrText>
                  </w:r>
                  <w:r>
                    <w:rPr>
                      <w:rFonts w:ascii="Arial" w:hAnsi="Arial"/>
                      <w:sz w:val="21"/>
                    </w:rPr>
                    <w:fldChar w:fldCharType="separate"/>
                  </w:r>
                  <w:r>
                    <w:rPr>
                      <w:rStyle w:val="C2"/>
                      <w:rFonts w:ascii="Arial" w:hAnsi="Arial"/>
                      <w:sz w:val="21"/>
                    </w:rPr>
                    <w:t>caDSR Form</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Fernandes, A., De Campos, C., Batalha, L., Perdigão, A., &amp; Jacob, E. (2014). Pain assessment using the Adolescent Pediatric Pain Tool: A systematic review. </w:t>
            </w:r>
            <w:r>
              <w:rPr>
                <w:rFonts w:ascii="Arial" w:hAnsi="Arial"/>
                <w:i w:val="1"/>
                <w:sz w:val="21"/>
              </w:rPr>
              <w:t>Pain Research and Management</w:t>
            </w:r>
            <w:r>
              <w:rPr>
                <w:rFonts w:ascii="Arial" w:hAnsi="Arial"/>
                <w:sz w:val="21"/>
              </w:rPr>
              <w:t>,</w:t>
            </w:r>
            <w:r>
              <w:rPr>
                <w:rFonts w:ascii="Arial" w:hAnsi="Arial"/>
                <w:i w:val="1"/>
                <w:sz w:val="21"/>
              </w:rPr>
              <w:t xml:space="preserve"> 19</w:t>
            </w:r>
            <w:r>
              <w:rPr>
                <w:rFonts w:ascii="Arial" w:hAnsi="Arial"/>
                <w:sz w:val="21"/>
              </w:rPr>
              <w:t>(4), 212-218.</w:t>
            </w:r>
          </w:p>
          <w:p>
            <w:pPr>
              <w:spacing w:before="240" w:after="240"/>
              <w:ind w:left="0" w:right="0"/>
              <w:rPr>
                <w:rFonts w:ascii="Arial" w:hAnsi="Arial"/>
                <w:sz w:val="21"/>
              </w:rPr>
            </w:pPr>
            <w:r>
              <w:rPr>
                <w:rFonts w:ascii="Arial" w:hAnsi="Arial"/>
                <w:sz w:val="21"/>
              </w:rPr>
              <w:t xml:space="preserve">Franck, L., Treadwell, M., Jacob, E., &amp; Vichinsky, E. (2002). Assessment of Sickle Cell Pain in Children and Young Adults Using the Adolescent Pediatric Pain Tool. </w:t>
            </w:r>
            <w:r>
              <w:rPr>
                <w:rFonts w:ascii="Arial" w:hAnsi="Arial"/>
                <w:i w:val="1"/>
                <w:sz w:val="21"/>
              </w:rPr>
              <w:t>Journal of Pain Symptom Management, 23</w:t>
            </w:r>
            <w:r>
              <w:rPr>
                <w:rFonts w:ascii="Arial" w:hAnsi="Arial"/>
                <w:sz w:val="21"/>
              </w:rPr>
              <w:t>, 114-120.</w:t>
            </w:r>
          </w:p>
          <w:p>
            <w:pPr>
              <w:spacing w:before="240" w:after="240"/>
              <w:ind w:left="0" w:right="0"/>
              <w:rPr>
                <w:rFonts w:ascii="Arial" w:hAnsi="Arial"/>
                <w:sz w:val="21"/>
              </w:rPr>
            </w:pPr>
            <w:r>
              <w:rPr>
                <w:rFonts w:ascii="Arial" w:hAnsi="Arial"/>
                <w:sz w:val="21"/>
              </w:rPr>
              <w:t xml:space="preserve">Jacob, E., Miaskowski, C., Savedra, M., Beyer, J., Treadwell, M., &amp; Styles, L. (2003). Changes in intensity, location, and quality of vaso-occlusive pain in children with sickle cell disease. </w:t>
            </w:r>
            <w:r>
              <w:rPr>
                <w:rFonts w:ascii="Arial" w:hAnsi="Arial"/>
                <w:i w:val="1"/>
                <w:sz w:val="21"/>
              </w:rPr>
              <w:t>Pain, 102</w:t>
            </w:r>
            <w:r>
              <w:rPr>
                <w:rFonts w:ascii="Arial" w:hAnsi="Arial"/>
                <w:sz w:val="21"/>
              </w:rPr>
              <w:t>, 187-193.</w:t>
            </w:r>
          </w:p>
          <w:p>
            <w:pPr>
              <w:spacing w:before="240" w:after="240"/>
              <w:ind w:left="0" w:right="0"/>
              <w:rPr>
                <w:rFonts w:ascii="Arial" w:hAnsi="Arial"/>
                <w:sz w:val="21"/>
              </w:rPr>
            </w:pPr>
            <w:r>
              <w:rPr>
                <w:rFonts w:ascii="Arial" w:hAnsi="Arial"/>
                <w:sz w:val="21"/>
              </w:rPr>
              <w:t>Jacob, E., Stinson, J., Duran, J., Gupta, A., Gerla, M., Lewis, M. A., &amp; Zeltzer L. (2012). Usability testing of a smartphone for accessing a web-based e-diary for self-monitoring of pain and symptoms in sickle cell disease. Journal of Pediatric Hematology/Oncology, 34, 326-335.</w:t>
            </w:r>
          </w:p>
          <w:p>
            <w:pPr>
              <w:spacing w:before="240" w:after="240"/>
              <w:ind w:left="0" w:right="0"/>
              <w:rPr>
                <w:rFonts w:ascii="Arial" w:hAnsi="Arial"/>
                <w:sz w:val="21"/>
              </w:rPr>
            </w:pPr>
            <w:r>
              <w:rPr>
                <w:rFonts w:ascii="Arial" w:hAnsi="Arial"/>
                <w:sz w:val="21"/>
              </w:rPr>
              <w:t xml:space="preserve">Savedra, M. C., Tesler, M. D., Holzemer, W. L., &amp; Ward, J. A. (1992). </w:t>
            </w:r>
            <w:r>
              <w:rPr>
                <w:rFonts w:ascii="Arial" w:hAnsi="Arial"/>
                <w:i w:val="1"/>
                <w:sz w:val="21"/>
              </w:rPr>
              <w:t>Adolescent Pediatric Pain Tool (APPT): User’s manual</w:t>
            </w:r>
            <w:r>
              <w:rPr>
                <w:rFonts w:ascii="Arial" w:hAnsi="Arial"/>
                <w:sz w:val="21"/>
              </w:rPr>
              <w:t>. San Francisco, CA: University of California, School of Nursing.</w:t>
            </w:r>
          </w:p>
          <w:p>
            <w:pPr>
              <w:spacing w:before="240" w:after="240"/>
              <w:ind w:left="0" w:right="0"/>
              <w:rPr>
                <w:rFonts w:ascii="Arial" w:hAnsi="Arial"/>
                <w:sz w:val="21"/>
              </w:rPr>
            </w:pPr>
            <w:r>
              <w:rPr>
                <w:rFonts w:ascii="Arial" w:hAnsi="Arial"/>
                <w:sz w:val="21"/>
              </w:rPr>
              <w:t xml:space="preserve">Savedra, M. C., Tesler, M. D., Holzemer, W. L., &amp; Brokaw, P. (1995). A strategy to assess the temporal dimension of pain in children and adolescents. </w:t>
            </w:r>
            <w:r>
              <w:rPr>
                <w:rFonts w:ascii="Arial" w:hAnsi="Arial"/>
                <w:i w:val="1"/>
                <w:sz w:val="21"/>
              </w:rPr>
              <w:t>Nursing Research, 44</w:t>
            </w:r>
            <w:r>
              <w:rPr>
                <w:rFonts w:ascii="Arial" w:hAnsi="Arial"/>
                <w:sz w:val="21"/>
              </w:rPr>
              <w:t>(5), 272-276.</w:t>
            </w:r>
          </w:p>
          <w:p>
            <w:pPr>
              <w:spacing w:before="240" w:after="240"/>
              <w:ind w:left="0" w:right="0"/>
              <w:rPr>
                <w:rFonts w:ascii="Arial" w:hAnsi="Arial"/>
                <w:sz w:val="21"/>
              </w:rPr>
            </w:pPr>
            <w:r>
              <w:rPr>
                <w:rFonts w:ascii="Arial" w:hAnsi="Arial"/>
                <w:sz w:val="21"/>
              </w:rPr>
              <w:t xml:space="preserve">Savedra, M. C., Holzemer, W. L., Tesler, M. D., &amp; Wilkie, D. J. (1993). Assessment of postoperation pain in children and adolescents using the adolescent pediatric pain tool. </w:t>
            </w:r>
            <w:r>
              <w:rPr>
                <w:rFonts w:ascii="Arial" w:hAnsi="Arial"/>
                <w:i w:val="1"/>
                <w:sz w:val="21"/>
              </w:rPr>
              <w:t>Nursing Research, 42</w:t>
            </w:r>
            <w:r>
              <w:rPr>
                <w:rFonts w:ascii="Arial" w:hAnsi="Arial"/>
                <w:sz w:val="21"/>
              </w:rPr>
              <w:t>(1), 5-9.</w:t>
            </w:r>
          </w:p>
          <w:p>
            <w:pPr>
              <w:spacing w:before="240" w:after="240"/>
              <w:ind w:left="0" w:right="0"/>
              <w:rPr>
                <w:rFonts w:ascii="Arial" w:hAnsi="Arial"/>
                <w:sz w:val="21"/>
              </w:rPr>
            </w:pPr>
            <w:r>
              <w:rPr>
                <w:rFonts w:ascii="Arial" w:hAnsi="Arial"/>
                <w:sz w:val="21"/>
              </w:rPr>
              <w:t xml:space="preserve">Savedra, M. C., Tesler, M. D., Holzemer, W. L., Wilkie, D. J., &amp; Ward, J. A. (1989). Pain location: Validity and reliability of body outline markings by hospitalized children and adolescents. </w:t>
            </w:r>
            <w:r>
              <w:rPr>
                <w:rFonts w:ascii="Arial" w:hAnsi="Arial"/>
                <w:i w:val="1"/>
                <w:sz w:val="21"/>
              </w:rPr>
              <w:t>Research in Nursing &amp; Health, 12</w:t>
            </w:r>
            <w:r>
              <w:rPr>
                <w:rFonts w:ascii="Arial" w:hAnsi="Arial"/>
                <w:sz w:val="21"/>
              </w:rPr>
              <w:t>(5), 307-314.</w:t>
            </w:r>
          </w:p>
          <w:p>
            <w:pPr>
              <w:spacing w:before="240" w:after="240"/>
              <w:ind w:left="0" w:right="0"/>
              <w:rPr>
                <w:rFonts w:ascii="Arial" w:hAnsi="Arial"/>
                <w:sz w:val="21"/>
              </w:rPr>
            </w:pPr>
            <w:r>
              <w:rPr>
                <w:rFonts w:ascii="Arial" w:hAnsi="Arial"/>
                <w:sz w:val="21"/>
              </w:rPr>
              <w:t xml:space="preserve">Tesler, M. D., Savedra, M. C., Holzemer, W. L., Wilkie, D. J., Ward, J. A., &amp; Paul, S. M. (1991). The word-graphic rating scale as a measure of children’s and adolescents’ pain intensity. </w:t>
            </w:r>
            <w:r>
              <w:rPr>
                <w:rFonts w:ascii="Arial" w:hAnsi="Arial"/>
                <w:i w:val="1"/>
                <w:sz w:val="21"/>
              </w:rPr>
              <w:t>Research in Nursing</w:t>
            </w:r>
            <w:r>
              <w:rPr>
                <w:rFonts w:ascii="Arial" w:hAnsi="Arial"/>
                <w:sz w:val="21"/>
              </w:rPr>
              <w:t xml:space="preserve"> &amp; </w:t>
            </w:r>
            <w:r>
              <w:rPr>
                <w:rFonts w:ascii="Arial" w:hAnsi="Arial"/>
                <w:i w:val="1"/>
                <w:sz w:val="21"/>
              </w:rPr>
              <w:t>Health, 14</w:t>
            </w:r>
            <w:r>
              <w:rPr>
                <w:rFonts w:ascii="Arial" w:hAnsi="Arial"/>
                <w:sz w:val="21"/>
              </w:rPr>
              <w:t>(5), 361-371.</w:t>
            </w:r>
          </w:p>
          <w:p>
            <w:pPr>
              <w:spacing w:before="240" w:after="240"/>
              <w:ind w:left="0" w:right="0"/>
              <w:rPr>
                <w:rFonts w:ascii="Arial" w:hAnsi="Arial"/>
                <w:sz w:val="21"/>
              </w:rPr>
            </w:pPr>
            <w:r>
              <w:rPr>
                <w:rFonts w:ascii="Arial" w:hAnsi="Arial"/>
                <w:sz w:val="21"/>
              </w:rPr>
              <w:t xml:space="preserve">Wilkie, D. J., Holzemer, W. L., Tesler, M. D., Ward, J. A., Paul, S. M., &amp; Savedra, M. C. (1990). Measuring pain quality: Validity and reliability of children’s and adolescents’ pain language. </w:t>
            </w:r>
            <w:r>
              <w:rPr>
                <w:rFonts w:ascii="Arial" w:hAnsi="Arial"/>
                <w:i w:val="1"/>
                <w:sz w:val="21"/>
              </w:rPr>
              <w:t>Pain, 41</w:t>
            </w:r>
            <w:r>
              <w:rPr>
                <w:rFonts w:ascii="Arial" w:hAnsi="Arial"/>
                <w:sz w:val="21"/>
              </w:rPr>
              <w:t>(2), 151-159.</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3FA55A2D"/>
    <w:multiLevelType w:val="hybridMultilevel"/>
    <w:lvl w:ilvl="0" w:tplc="5496DCF6">
      <w:start w:val="1"/>
      <w:numFmt w:val="decimal"/>
      <w:suff w:val="tab"/>
      <w:lvlText w:val="%1."/>
      <w:lvlJc w:val="left"/>
      <w:pPr>
        <w:ind w:hanging="360" w:left="720"/>
      </w:pPr>
      <w:rPr/>
    </w:lvl>
    <w:lvl w:ilvl="1" w:tplc="723F7E39">
      <w:start w:val="1"/>
      <w:numFmt w:val="decimal"/>
      <w:suff w:val="tab"/>
      <w:lvlText w:val="%2."/>
      <w:lvlJc w:val="left"/>
      <w:pPr>
        <w:ind w:hanging="360" w:left="1440"/>
      </w:pPr>
      <w:rPr/>
    </w:lvl>
    <w:lvl w:ilvl="2" w:tplc="5E212529">
      <w:start w:val="1"/>
      <w:numFmt w:val="decimal"/>
      <w:suff w:val="tab"/>
      <w:lvlText w:val="%3."/>
      <w:lvlJc w:val="left"/>
      <w:pPr>
        <w:ind w:hanging="360" w:left="2160"/>
      </w:pPr>
      <w:rPr/>
    </w:lvl>
    <w:lvl w:ilvl="3" w:tplc="136CD644">
      <w:start w:val="1"/>
      <w:numFmt w:val="decimal"/>
      <w:suff w:val="tab"/>
      <w:lvlText w:val="%4."/>
      <w:lvlJc w:val="left"/>
      <w:pPr>
        <w:ind w:hanging="360" w:left="2880"/>
      </w:pPr>
      <w:rPr/>
    </w:lvl>
    <w:lvl w:ilvl="4" w:tplc="36B8DC6E">
      <w:start w:val="1"/>
      <w:numFmt w:val="decimal"/>
      <w:suff w:val="tab"/>
      <w:lvlText w:val="%5."/>
      <w:lvlJc w:val="left"/>
      <w:pPr>
        <w:ind w:hanging="360" w:left="3600"/>
      </w:pPr>
      <w:rPr/>
    </w:lvl>
    <w:lvl w:ilvl="5" w:tplc="10BBBDE0">
      <w:start w:val="1"/>
      <w:numFmt w:val="decimal"/>
      <w:suff w:val="tab"/>
      <w:lvlText w:val="%6."/>
      <w:lvlJc w:val="left"/>
      <w:pPr>
        <w:ind w:hanging="360" w:left="4320"/>
      </w:pPr>
      <w:rPr/>
    </w:lvl>
    <w:lvl w:ilvl="6" w:tplc="63B1F0AE">
      <w:start w:val="1"/>
      <w:numFmt w:val="decimal"/>
      <w:suff w:val="tab"/>
      <w:lvlText w:val="%7."/>
      <w:lvlJc w:val="left"/>
      <w:pPr>
        <w:ind w:hanging="360" w:left="5040"/>
      </w:pPr>
      <w:rPr/>
    </w:lvl>
    <w:lvl w:ilvl="7" w:tplc="3F11E36C">
      <w:start w:val="1"/>
      <w:numFmt w:val="decimal"/>
      <w:suff w:val="tab"/>
      <w:lvlText w:val="%8."/>
      <w:lvlJc w:val="left"/>
      <w:pPr>
        <w:ind w:hanging="360" w:left="5760"/>
      </w:pPr>
      <w:rPr/>
    </w:lvl>
    <w:lvl w:ilvl="8" w:tplc="70B7932A">
      <w:start w:val="1"/>
      <w:numFmt w:val="decimal"/>
      <w:suff w:val="tab"/>
      <w:lvlText w:val="%9."/>
      <w:lvlJc w:val="left"/>
      <w:pPr>
        <w:ind w:hanging="360" w:left="6480"/>
      </w:pPr>
      <w:rPr/>
    </w:lvl>
  </w:abstractNum>
  <w:abstractNum w:abstractNumId="1">
    <w:nsid w:val="259C9C90"/>
    <w:multiLevelType w:val="hybridMultilevel"/>
    <w:lvl w:ilvl="0" w:tplc="19944B57">
      <w:start w:val="2"/>
      <w:numFmt w:val="decimal"/>
      <w:suff w:val="tab"/>
      <w:lvlText w:val="%1."/>
      <w:lvlJc w:val="left"/>
      <w:pPr>
        <w:ind w:hanging="360" w:left="720"/>
      </w:pPr>
      <w:rPr/>
    </w:lvl>
    <w:lvl w:ilvl="1" w:tplc="055C57AE">
      <w:start w:val="1"/>
      <w:numFmt w:val="decimal"/>
      <w:suff w:val="tab"/>
      <w:lvlText w:val="%2."/>
      <w:lvlJc w:val="left"/>
      <w:pPr>
        <w:ind w:hanging="360" w:left="1440"/>
      </w:pPr>
      <w:rPr/>
    </w:lvl>
    <w:lvl w:ilvl="2" w:tplc="1EE53AD1">
      <w:start w:val="1"/>
      <w:numFmt w:val="decimal"/>
      <w:suff w:val="tab"/>
      <w:lvlText w:val="%3."/>
      <w:lvlJc w:val="left"/>
      <w:pPr>
        <w:ind w:hanging="360" w:left="2160"/>
      </w:pPr>
      <w:rPr/>
    </w:lvl>
    <w:lvl w:ilvl="3" w:tplc="00A63044">
      <w:start w:val="1"/>
      <w:numFmt w:val="decimal"/>
      <w:suff w:val="tab"/>
      <w:lvlText w:val="%4."/>
      <w:lvlJc w:val="left"/>
      <w:pPr>
        <w:ind w:hanging="360" w:left="2880"/>
      </w:pPr>
      <w:rPr/>
    </w:lvl>
    <w:lvl w:ilvl="4" w:tplc="32154551">
      <w:start w:val="1"/>
      <w:numFmt w:val="decimal"/>
      <w:suff w:val="tab"/>
      <w:lvlText w:val="%5."/>
      <w:lvlJc w:val="left"/>
      <w:pPr>
        <w:ind w:hanging="360" w:left="3600"/>
      </w:pPr>
      <w:rPr/>
    </w:lvl>
    <w:lvl w:ilvl="5" w:tplc="39668BD8">
      <w:start w:val="1"/>
      <w:numFmt w:val="decimal"/>
      <w:suff w:val="tab"/>
      <w:lvlText w:val="%6."/>
      <w:lvlJc w:val="left"/>
      <w:pPr>
        <w:ind w:hanging="360" w:left="4320"/>
      </w:pPr>
      <w:rPr/>
    </w:lvl>
    <w:lvl w:ilvl="6" w:tplc="04D70D46">
      <w:start w:val="1"/>
      <w:numFmt w:val="decimal"/>
      <w:suff w:val="tab"/>
      <w:lvlText w:val="%7."/>
      <w:lvlJc w:val="left"/>
      <w:pPr>
        <w:ind w:hanging="360" w:left="5040"/>
      </w:pPr>
      <w:rPr/>
    </w:lvl>
    <w:lvl w:ilvl="7" w:tplc="50FFB45D">
      <w:start w:val="1"/>
      <w:numFmt w:val="decimal"/>
      <w:suff w:val="tab"/>
      <w:lvlText w:val="%8."/>
      <w:lvlJc w:val="left"/>
      <w:pPr>
        <w:ind w:hanging="360" w:left="5760"/>
      </w:pPr>
      <w:rPr/>
    </w:lvl>
    <w:lvl w:ilvl="8" w:tplc="109A693E">
      <w:start w:val="1"/>
      <w:numFmt w:val="decimal"/>
      <w:suff w:val="tab"/>
      <w:lvlText w:val="%9."/>
      <w:lvlJc w:val="left"/>
      <w:pPr>
        <w:ind w:hanging="360" w:left="6480"/>
      </w:pPr>
      <w:rPr/>
    </w:lvl>
  </w:abstractNum>
  <w:abstractNum w:abstractNumId="2">
    <w:nsid w:val="1C2FB8A2"/>
    <w:multiLevelType w:val="hybridMultilevel"/>
    <w:lvl w:ilvl="0" w:tplc="30DF5C16">
      <w:start w:val="3"/>
      <w:numFmt w:val="decimal"/>
      <w:suff w:val="tab"/>
      <w:lvlText w:val="%1."/>
      <w:lvlJc w:val="left"/>
      <w:pPr>
        <w:ind w:hanging="360" w:left="720"/>
      </w:pPr>
      <w:rPr/>
    </w:lvl>
    <w:lvl w:ilvl="1" w:tplc="29BA099D">
      <w:start w:val="1"/>
      <w:numFmt w:val="decimal"/>
      <w:suff w:val="tab"/>
      <w:lvlText w:val="%2."/>
      <w:lvlJc w:val="left"/>
      <w:pPr>
        <w:ind w:hanging="360" w:left="1440"/>
      </w:pPr>
      <w:rPr/>
    </w:lvl>
    <w:lvl w:ilvl="2" w:tplc="0675C8FE">
      <w:start w:val="1"/>
      <w:numFmt w:val="decimal"/>
      <w:suff w:val="tab"/>
      <w:lvlText w:val="%3."/>
      <w:lvlJc w:val="left"/>
      <w:pPr>
        <w:ind w:hanging="360" w:left="2160"/>
      </w:pPr>
      <w:rPr/>
    </w:lvl>
    <w:lvl w:ilvl="3" w:tplc="7026A62C">
      <w:start w:val="1"/>
      <w:numFmt w:val="decimal"/>
      <w:suff w:val="tab"/>
      <w:lvlText w:val="%4."/>
      <w:lvlJc w:val="left"/>
      <w:pPr>
        <w:ind w:hanging="360" w:left="2880"/>
      </w:pPr>
      <w:rPr/>
    </w:lvl>
    <w:lvl w:ilvl="4" w:tplc="1E40933E">
      <w:start w:val="1"/>
      <w:numFmt w:val="decimal"/>
      <w:suff w:val="tab"/>
      <w:lvlText w:val="%5."/>
      <w:lvlJc w:val="left"/>
      <w:pPr>
        <w:ind w:hanging="360" w:left="3600"/>
      </w:pPr>
      <w:rPr/>
    </w:lvl>
    <w:lvl w:ilvl="5" w:tplc="7B2ACC44">
      <w:start w:val="1"/>
      <w:numFmt w:val="decimal"/>
      <w:suff w:val="tab"/>
      <w:lvlText w:val="%6."/>
      <w:lvlJc w:val="left"/>
      <w:pPr>
        <w:ind w:hanging="360" w:left="4320"/>
      </w:pPr>
      <w:rPr/>
    </w:lvl>
    <w:lvl w:ilvl="6" w:tplc="32C7E403">
      <w:start w:val="1"/>
      <w:numFmt w:val="decimal"/>
      <w:suff w:val="tab"/>
      <w:lvlText w:val="%7."/>
      <w:lvlJc w:val="left"/>
      <w:pPr>
        <w:ind w:hanging="360" w:left="5040"/>
      </w:pPr>
      <w:rPr/>
    </w:lvl>
    <w:lvl w:ilvl="7" w:tplc="16C50274">
      <w:start w:val="1"/>
      <w:numFmt w:val="decimal"/>
      <w:suff w:val="tab"/>
      <w:lvlText w:val="%8."/>
      <w:lvlJc w:val="left"/>
      <w:pPr>
        <w:ind w:hanging="360" w:left="5760"/>
      </w:pPr>
      <w:rPr/>
    </w:lvl>
    <w:lvl w:ilvl="8" w:tplc="6A7555F2">
      <w:start w:val="1"/>
      <w:numFmt w:val="decimal"/>
      <w:suff w:val="tab"/>
      <w:lvlText w:val="%9."/>
      <w:lvlJc w:val="left"/>
      <w:pPr>
        <w:ind w:hanging="360" w:left="6480"/>
      </w:pPr>
      <w:rPr/>
    </w:lvl>
  </w:abstractNum>
  <w:abstractNum w:abstractNumId="3">
    <w:nsid w:val="2D3C4D8B"/>
    <w:multiLevelType w:val="hybridMultilevel"/>
    <w:lvl w:ilvl="0" w:tplc="00A748C2">
      <w:start w:val="4"/>
      <w:numFmt w:val="decimal"/>
      <w:suff w:val="tab"/>
      <w:lvlText w:val="%1."/>
      <w:lvlJc w:val="left"/>
      <w:pPr>
        <w:ind w:hanging="360" w:left="720"/>
      </w:pPr>
      <w:rPr/>
    </w:lvl>
    <w:lvl w:ilvl="1" w:tplc="661657B6">
      <w:start w:val="1"/>
      <w:numFmt w:val="decimal"/>
      <w:suff w:val="tab"/>
      <w:lvlText w:val="%2."/>
      <w:lvlJc w:val="left"/>
      <w:pPr>
        <w:ind w:hanging="360" w:left="1440"/>
      </w:pPr>
      <w:rPr/>
    </w:lvl>
    <w:lvl w:ilvl="2" w:tplc="4244A066">
      <w:start w:val="1"/>
      <w:numFmt w:val="decimal"/>
      <w:suff w:val="tab"/>
      <w:lvlText w:val="%3."/>
      <w:lvlJc w:val="left"/>
      <w:pPr>
        <w:ind w:hanging="360" w:left="2160"/>
      </w:pPr>
      <w:rPr/>
    </w:lvl>
    <w:lvl w:ilvl="3" w:tplc="2F12A8F7">
      <w:start w:val="1"/>
      <w:numFmt w:val="decimal"/>
      <w:suff w:val="tab"/>
      <w:lvlText w:val="%4."/>
      <w:lvlJc w:val="left"/>
      <w:pPr>
        <w:ind w:hanging="360" w:left="2880"/>
      </w:pPr>
      <w:rPr/>
    </w:lvl>
    <w:lvl w:ilvl="4" w:tplc="7349E0A5">
      <w:start w:val="1"/>
      <w:numFmt w:val="decimal"/>
      <w:suff w:val="tab"/>
      <w:lvlText w:val="%5."/>
      <w:lvlJc w:val="left"/>
      <w:pPr>
        <w:ind w:hanging="360" w:left="3600"/>
      </w:pPr>
      <w:rPr/>
    </w:lvl>
    <w:lvl w:ilvl="5" w:tplc="44B1966E">
      <w:start w:val="1"/>
      <w:numFmt w:val="decimal"/>
      <w:suff w:val="tab"/>
      <w:lvlText w:val="%6."/>
      <w:lvlJc w:val="left"/>
      <w:pPr>
        <w:ind w:hanging="360" w:left="4320"/>
      </w:pPr>
      <w:rPr/>
    </w:lvl>
    <w:lvl w:ilvl="6" w:tplc="506BB969">
      <w:start w:val="1"/>
      <w:numFmt w:val="decimal"/>
      <w:suff w:val="tab"/>
      <w:lvlText w:val="%7."/>
      <w:lvlJc w:val="left"/>
      <w:pPr>
        <w:ind w:hanging="360" w:left="5040"/>
      </w:pPr>
      <w:rPr/>
    </w:lvl>
    <w:lvl w:ilvl="7" w:tplc="3EA6D5FB">
      <w:start w:val="1"/>
      <w:numFmt w:val="decimal"/>
      <w:suff w:val="tab"/>
      <w:lvlText w:val="%8."/>
      <w:lvlJc w:val="left"/>
      <w:pPr>
        <w:ind w:hanging="360" w:left="5760"/>
      </w:pPr>
      <w:rPr/>
    </w:lvl>
    <w:lvl w:ilvl="8" w:tplc="75816EA9">
      <w:start w:val="1"/>
      <w:numFmt w:val="decimal"/>
      <w:suff w:val="tab"/>
      <w:lvlText w:val="%9."/>
      <w:lvlJc w:val="left"/>
      <w:pPr>
        <w:ind w:hanging="360" w:left="6480"/>
      </w:pPr>
      <w:rPr/>
    </w:lvl>
  </w:abstractNum>
  <w:abstractNum w:abstractNumId="4">
    <w:nsid w:val="19932130"/>
    <w:multiLevelType w:val="hybridMultilevel"/>
    <w:lvl w:ilvl="0" w:tplc="5212A7C9">
      <w:start w:val="5"/>
      <w:numFmt w:val="decimal"/>
      <w:suff w:val="tab"/>
      <w:lvlText w:val="%1."/>
      <w:lvlJc w:val="left"/>
      <w:pPr>
        <w:ind w:hanging="360" w:left="720"/>
      </w:pPr>
      <w:rPr/>
    </w:lvl>
    <w:lvl w:ilvl="1" w:tplc="77DB4FFF">
      <w:start w:val="1"/>
      <w:numFmt w:val="decimal"/>
      <w:suff w:val="tab"/>
      <w:lvlText w:val="%2."/>
      <w:lvlJc w:val="left"/>
      <w:pPr>
        <w:ind w:hanging="360" w:left="1440"/>
      </w:pPr>
      <w:rPr/>
    </w:lvl>
    <w:lvl w:ilvl="2" w:tplc="683BBF54">
      <w:start w:val="1"/>
      <w:numFmt w:val="decimal"/>
      <w:suff w:val="tab"/>
      <w:lvlText w:val="%3."/>
      <w:lvlJc w:val="left"/>
      <w:pPr>
        <w:ind w:hanging="360" w:left="2160"/>
      </w:pPr>
      <w:rPr/>
    </w:lvl>
    <w:lvl w:ilvl="3" w:tplc="0FF49820">
      <w:start w:val="1"/>
      <w:numFmt w:val="decimal"/>
      <w:suff w:val="tab"/>
      <w:lvlText w:val="%4."/>
      <w:lvlJc w:val="left"/>
      <w:pPr>
        <w:ind w:hanging="360" w:left="2880"/>
      </w:pPr>
      <w:rPr/>
    </w:lvl>
    <w:lvl w:ilvl="4" w:tplc="6B5A60CC">
      <w:start w:val="1"/>
      <w:numFmt w:val="decimal"/>
      <w:suff w:val="tab"/>
      <w:lvlText w:val="%5."/>
      <w:lvlJc w:val="left"/>
      <w:pPr>
        <w:ind w:hanging="360" w:left="3600"/>
      </w:pPr>
      <w:rPr/>
    </w:lvl>
    <w:lvl w:ilvl="5" w:tplc="7C3C82EE">
      <w:start w:val="1"/>
      <w:numFmt w:val="decimal"/>
      <w:suff w:val="tab"/>
      <w:lvlText w:val="%6."/>
      <w:lvlJc w:val="left"/>
      <w:pPr>
        <w:ind w:hanging="360" w:left="4320"/>
      </w:pPr>
      <w:rPr/>
    </w:lvl>
    <w:lvl w:ilvl="6" w:tplc="3DB51F0A">
      <w:start w:val="1"/>
      <w:numFmt w:val="decimal"/>
      <w:suff w:val="tab"/>
      <w:lvlText w:val="%7."/>
      <w:lvlJc w:val="left"/>
      <w:pPr>
        <w:ind w:hanging="360" w:left="5040"/>
      </w:pPr>
      <w:rPr/>
    </w:lvl>
    <w:lvl w:ilvl="7" w:tplc="6B09D656">
      <w:start w:val="1"/>
      <w:numFmt w:val="decimal"/>
      <w:suff w:val="tab"/>
      <w:lvlText w:val="%8."/>
      <w:lvlJc w:val="left"/>
      <w:pPr>
        <w:ind w:hanging="360" w:left="5760"/>
      </w:pPr>
      <w:rPr/>
    </w:lvl>
    <w:lvl w:ilvl="8" w:tplc="5592569A">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2024-10-30T16:07:40Z</dcterms:created>
  <cp:lastModifiedBy>Williams (He/Him), David</cp:lastModifiedBy>
  <dcterms:modified xsi:type="dcterms:W3CDTF">2024-10-30T16:07:40Z</dcterms:modified>
  <cp:revision>1</cp:revision>
</cp:coreProperties>
</file>