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7584"/>
      </w:tblGrid>
      <w:tr w:rsidR="00003211" w:rsidRPr="00CF5B9B" w:rsidTr="006A2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CF5B9B" w:rsidRDefault="00BF4EB2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BF4EB2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Parkinsons Disease Symptoms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D30025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130201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Description of Protocol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D30025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The Charcot-Marie-Tooth Neuropathy Score is a nine-item clinical examination that measures sensory symptoms, motor symptoms, arm and leg strength, and nerve conduction velocities.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Specific Instructions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D30025" w:rsidP="00934517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This protocol must be administered by a neurologist or physician with relevant training.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1.  Sensory Symptoms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0 [ ] None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1 [ ] Limited to toes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2 [ ] Extend up to and may include ankle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3 [ ] Extend up to and may include knee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4 [ ] Extends above knees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2.  Motor Symptoms: Legs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0 [ ] None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1 [ ] Trips, catches toes, slaps feet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2 [ ] AFO on at least 1 leg or ankle support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3 [ ] Cane, walker, ankle surgery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4 [ ] Wheelchair most of the time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3. Motor Symptoms: Arms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0 [ ] None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1 [ ] Difficulty with buttons/zippers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2 [ ] Unable to do buttons or zippers but can write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3 [ ] Can not write or use keyboard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4 [ ] Proximal arms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4. Pin sensibility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0 [ ] Normal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lastRenderedPageBreak/>
              <w:t xml:space="preserve">   1 [ ] Reduced in fingers/toes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2 [ ] Reduced up to and may include wrist/ankle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3 [ ] Reduced up to and may include elbow/knee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 4 [ ] Reduced above elbow/knee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5. Vibration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0 [ ] Normal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1 [ ] Reduced at fingers/toes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2 [ ] Reduced at wrist/ankle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3 [ ] Reduced at elbow/knee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4 [ ] Reduced above elbow/knee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6. Strength: Legs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0 [ ] Normal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1 [ ] 4+, 4, or 4- on foot dorsiflexion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2 [ ] =3 Foot dorsiflexion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3 [ ] =3 Dorsiflexion and plantar flexion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4 [ ] Proximal weakness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7. Strength: Arms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0 [ ] Normal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1 [ ] 4+, 4, or 4- on intrinsics or finger extensors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2 [ ] =3 Intrinsics or finger extensors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3 [ ] &lt;5 Wrist extensors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4 [ ] Weak above elbow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8.Ulnar CMAP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0 [ ] &gt; 6 mV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1 [ ] 4.0-5.9 mV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2 [ ] 2.0-3.9 mV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lastRenderedPageBreak/>
              <w:t xml:space="preserve">  3 [ ] 0.1-1.9 mV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4 [ ] Absent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9. Ulnar CMAP: (Median)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0 [ ] (&gt;4 mV)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1 [ ] (2.8-3.9)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2 [ ] (1.2-2.7)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3 [ ] (0.1-1.1)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4 [ ] (Absent)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10. Ulnar SNAP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0 [ ] &gt; 9 uV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1 [ ] 6.0 - 8.9 uV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2 [ ] 3.0-5.9 uV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3 [ ] 0.1-2.9 uV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4 [ ] Absent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11.   Ulnar SNAP: (Median)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0 [ ] (&gt;22 uV)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1 [ ] (14.0-21.9)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2 [ ] (7.0-13.9)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3 [ ] (0.1-6.9)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  4 [ ] (Absent)</w:t>
            </w:r>
          </w:p>
          <w:p w:rsidR="00D30025" w:rsidRPr="00D30025" w:rsidRDefault="00D30025" w:rsidP="00D30025">
            <w:pPr>
              <w:rPr>
                <w:rFonts w:ascii="Trebuchet MS" w:hAnsi="Trebuchet MS"/>
                <w:sz w:val="21"/>
                <w:szCs w:val="21"/>
              </w:rPr>
            </w:pPr>
          </w:p>
          <w:p w:rsidR="00D30025" w:rsidRPr="00D30025" w:rsidRDefault="00D30025" w:rsidP="00D30025">
            <w:pPr>
              <w:pStyle w:val="NormalWeb"/>
              <w:shd w:val="clear" w:color="auto" w:fill="FFFFFF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D30025">
              <w:rPr>
                <w:rFonts w:ascii="Trebuchet MS" w:hAnsi="Trebuchet MS"/>
                <w:color w:val="444444"/>
                <w:sz w:val="21"/>
                <w:szCs w:val="21"/>
              </w:rPr>
              <w:t>AFO = ankle-foot orthosis</w:t>
            </w:r>
            <w:r w:rsidRPr="00D30025">
              <w:rPr>
                <w:rFonts w:ascii="Trebuchet MS" w:hAnsi="Trebuchet MS"/>
                <w:color w:val="444444"/>
                <w:sz w:val="21"/>
                <w:szCs w:val="21"/>
              </w:rPr>
              <w:br/>
              <w:t>CMAP = compound muscle action potential</w:t>
            </w:r>
            <w:r w:rsidRPr="00D30025">
              <w:rPr>
                <w:rFonts w:ascii="Trebuchet MS" w:hAnsi="Trebuchet MS"/>
                <w:color w:val="444444"/>
                <w:sz w:val="21"/>
                <w:szCs w:val="21"/>
              </w:rPr>
              <w:br/>
              <w:t>SNAP = sensory nerve action potential</w:t>
            </w:r>
          </w:p>
          <w:p w:rsidR="00003211" w:rsidRPr="00D30025" w:rsidRDefault="00D30025" w:rsidP="00D30025">
            <w:pPr>
              <w:pStyle w:val="NormalWeb"/>
              <w:shd w:val="clear" w:color="auto" w:fill="FFFFFF"/>
              <w:rPr>
                <w:rFonts w:ascii="Trebuchet MS" w:hAnsi="Trebuchet MS"/>
                <w:color w:val="444444"/>
                <w:sz w:val="21"/>
                <w:szCs w:val="21"/>
              </w:rPr>
            </w:pPr>
            <w:r w:rsidRPr="00D30025">
              <w:rPr>
                <w:rStyle w:val="Strong"/>
                <w:rFonts w:ascii="Trebuchet MS" w:hAnsi="Trebuchet MS"/>
                <w:color w:val="444444"/>
                <w:sz w:val="21"/>
                <w:szCs w:val="21"/>
              </w:rPr>
              <w:t>Scoring Instructions</w:t>
            </w:r>
            <w:r w:rsidRPr="00D30025">
              <w:rPr>
                <w:rFonts w:ascii="Trebuchet MS" w:hAnsi="Trebuchet MS"/>
                <w:color w:val="444444"/>
                <w:sz w:val="21"/>
                <w:szCs w:val="21"/>
              </w:rPr>
              <w:br/>
              <w:t>Sum scores on all items. Maximum score is 36.</w:t>
            </w:r>
            <w:r w:rsidRPr="00D30025">
              <w:rPr>
                <w:rFonts w:ascii="Trebuchet MS" w:hAnsi="Trebuchet MS"/>
                <w:color w:val="444444"/>
                <w:sz w:val="21"/>
                <w:szCs w:val="21"/>
              </w:rPr>
              <w:br/>
              <w:t>1-10 mildly affected</w:t>
            </w:r>
            <w:r w:rsidRPr="00D30025">
              <w:rPr>
                <w:rFonts w:ascii="Trebuchet MS" w:hAnsi="Trebuchet MS"/>
                <w:color w:val="444444"/>
                <w:sz w:val="21"/>
                <w:szCs w:val="21"/>
              </w:rPr>
              <w:br/>
              <w:t>11-20 moderately a</w:t>
            </w:r>
            <w:r w:rsidRPr="00D30025">
              <w:rPr>
                <w:rFonts w:ascii="Trebuchet MS" w:hAnsi="Trebuchet MS"/>
                <w:color w:val="444444"/>
                <w:sz w:val="21"/>
                <w:szCs w:val="21"/>
              </w:rPr>
              <w:t>ffected</w:t>
            </w:r>
            <w:r w:rsidRPr="00D30025">
              <w:rPr>
                <w:rFonts w:ascii="Trebuchet MS" w:hAnsi="Trebuchet MS"/>
                <w:color w:val="444444"/>
                <w:sz w:val="21"/>
                <w:szCs w:val="21"/>
              </w:rPr>
              <w:br/>
              <w:t>21-36 severely affected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lastRenderedPageBreak/>
              <w:t>Selection Rationale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D30025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The Charcot-Marie-Tooth Neuropathy Score was vetted against similar protocols and chosen because it is a relatively short, validated protocol that focuses more on motor function and weakness over the sensory symptoms that characterize toxic and diabetic neuropathies.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D30025" w:rsidP="00BF4E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Shy, M., Blake, J., Krajewski, K., Fuerst, D., Laura, M., Hahn, A., Li, J., Lewis, R., &amp; Reilly, M. (2005). Reliability and validity of the CMT Neuropathy Score as a measure of disability. </w:t>
            </w:r>
            <w:r w:rsidRPr="00D30025">
              <w:rPr>
                <w:rFonts w:ascii="Trebuchet MS" w:hAnsi="Trebuchet MS"/>
                <w:i/>
                <w:iCs/>
                <w:sz w:val="21"/>
                <w:szCs w:val="21"/>
              </w:rPr>
              <w:t>Neurology,</w:t>
            </w:r>
            <w:r w:rsidRPr="00D30025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D30025">
              <w:rPr>
                <w:rFonts w:ascii="Trebuchet MS" w:hAnsi="Trebuchet MS"/>
                <w:i/>
                <w:iCs/>
                <w:sz w:val="21"/>
                <w:szCs w:val="21"/>
              </w:rPr>
              <w:t>64</w:t>
            </w:r>
            <w:r w:rsidRPr="00D30025">
              <w:rPr>
                <w:rFonts w:ascii="Trebuchet MS" w:hAnsi="Trebuchet MS"/>
                <w:sz w:val="21"/>
                <w:szCs w:val="21"/>
              </w:rPr>
              <w:t>(7), 1209-1214.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Language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BF4EB2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English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Participant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BF4EB2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Adult, aged 18 or older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Personnel and Training 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D30025" w:rsidP="009C0B3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This Charcot-Marie-Tooth Neuropathy Score protocol must be completed by a trained neurologist or by an experienced peripheral nerve clinician.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Equipment Needs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D30025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Specialized equipment is necessary to assess the peroneal compound muscle action potential (CMAP) and sural sensory nerve action potential (SNAP).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Standards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518"/>
              <w:gridCol w:w="861"/>
              <w:gridCol w:w="1039"/>
            </w:tblGrid>
            <w:tr w:rsidR="00D30025" w:rsidRPr="00D30025" w:rsidTr="00FB141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Source</w:t>
                  </w:r>
                </w:p>
              </w:tc>
            </w:tr>
            <w:tr w:rsidR="00D30025" w:rsidRPr="00D30025" w:rsidTr="00FB141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Fonts w:ascii="Trebuchet MS" w:hAnsi="Trebuchet MS"/>
                      <w:sz w:val="21"/>
                      <w:szCs w:val="21"/>
                    </w:rP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Fonts w:ascii="Trebuchet MS" w:hAnsi="Trebuchet MS"/>
                      <w:sz w:val="21"/>
                      <w:szCs w:val="21"/>
                    </w:rPr>
                    <w:t>Person Clinical Neuropathy Assessment Score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Fonts w:ascii="Trebuchet MS" w:hAnsi="Trebuchet MS"/>
                      <w:sz w:val="21"/>
                      <w:szCs w:val="21"/>
                    </w:rPr>
                    <w:t>3076102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6" w:history="1">
                    <w:r w:rsidRPr="00D30025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CDE Browser</w:t>
                    </w:r>
                  </w:hyperlink>
                </w:p>
              </w:tc>
            </w:tr>
            <w:tr w:rsidR="00D30025" w:rsidRPr="00D30025" w:rsidTr="00FB141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Fonts w:ascii="Trebuchet MS" w:hAnsi="Trebuchet MS"/>
                      <w:sz w:val="21"/>
                      <w:szCs w:val="21"/>
                    </w:rP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Fonts w:ascii="Trebuchet MS" w:hAnsi="Trebuchet MS"/>
                      <w:sz w:val="21"/>
                      <w:szCs w:val="21"/>
                    </w:rPr>
                    <w:t>Clinical neuropathy proto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D30025">
                    <w:rPr>
                      <w:rFonts w:ascii="Trebuchet MS" w:hAnsi="Trebuchet MS"/>
                      <w:sz w:val="21"/>
                      <w:szCs w:val="21"/>
                    </w:rPr>
                    <w:t>62759-6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30025" w:rsidRPr="00D30025" w:rsidRDefault="00D30025" w:rsidP="00FB1413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7" w:history="1">
                    <w:r w:rsidRPr="00D30025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LOINC</w:t>
                    </w:r>
                  </w:hyperlink>
                </w:p>
              </w:tc>
            </w:tr>
          </w:tbl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General References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D30025" w:rsidP="00BF4EB2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 xml:space="preserve">Murphy, S. M., Herrmann, D. N., McDermott M. P., Scherer, S. S., Shy, M. E., Reilly, M. M., &amp; Pareyson, D. (2011). Reliability of the CMT Neuropathy Score (second version) in Charcot-Marie-Tooth disease. </w:t>
            </w:r>
            <w:r w:rsidRPr="00D30025">
              <w:rPr>
                <w:rFonts w:ascii="Trebuchet MS" w:hAnsi="Trebuchet MS"/>
                <w:i/>
                <w:iCs/>
                <w:sz w:val="21"/>
                <w:szCs w:val="21"/>
              </w:rPr>
              <w:t>Journal of the Peripheral Nervous Syst</w:t>
            </w:r>
            <w:r w:rsidRPr="00D30025">
              <w:rPr>
                <w:rFonts w:ascii="Trebuchet MS" w:hAnsi="Trebuchet MS"/>
                <w:sz w:val="21"/>
                <w:szCs w:val="21"/>
              </w:rPr>
              <w:t>em,</w:t>
            </w:r>
            <w:r w:rsidRPr="00D30025">
              <w:rPr>
                <w:rFonts w:ascii="Trebuchet MS" w:hAnsi="Trebuchet MS"/>
                <w:i/>
                <w:iCs/>
                <w:sz w:val="21"/>
                <w:szCs w:val="21"/>
              </w:rPr>
              <w:t xml:space="preserve"> 16</w:t>
            </w:r>
            <w:r w:rsidRPr="00D30025">
              <w:rPr>
                <w:rFonts w:ascii="Trebuchet MS" w:hAnsi="Trebuchet MS"/>
                <w:sz w:val="21"/>
                <w:szCs w:val="21"/>
              </w:rPr>
              <w:t>(3), 191-198.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BF4EB2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hAnsi="Trebuchet MS"/>
                <w:sz w:val="21"/>
                <w:szCs w:val="21"/>
              </w:rPr>
              <w:t>Physical Examination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Derived 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003211" w:rsidRPr="00D30025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D30025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Requirements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37"/>
              <w:gridCol w:w="1011"/>
            </w:tblGrid>
            <w:tr w:rsidR="00003211" w:rsidRPr="00D30025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b/>
                      <w:bCs/>
                      <w:sz w:val="21"/>
                      <w:szCs w:val="21"/>
                    </w:rPr>
                    <w:t>Required</w:t>
                  </w:r>
                </w:p>
              </w:tc>
            </w:tr>
            <w:tr w:rsidR="00003211" w:rsidRPr="00D30025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Average time of greater than 15 minutes in an unaffected individual</w:t>
                  </w:r>
                </w:p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D30025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Yes</w:t>
                  </w:r>
                </w:p>
              </w:tc>
            </w:tr>
            <w:tr w:rsidR="00003211" w:rsidRPr="00D30025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Major equipment</w:t>
                  </w:r>
                </w:p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a specialized measurement device that may not be readily available in every setting where genome wide association studies are being conducted. Examples of specialized equipment are DEXA, Echocardiography, and Spirometry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BF4EB2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Yes</w:t>
                  </w:r>
                </w:p>
              </w:tc>
            </w:tr>
            <w:tr w:rsidR="00003211" w:rsidRPr="00D30025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Specialized requirements for biospecimen collection</w:t>
                  </w:r>
                </w:p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 xml:space="preserve">This protocol requires that blood, urine, etc. be collected from </w:t>
                  </w:r>
                  <w:r w:rsidRPr="00D30025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lastRenderedPageBreak/>
                    <w:t>the study participants.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lastRenderedPageBreak/>
                    <w:t>No</w:t>
                  </w:r>
                </w:p>
              </w:tc>
            </w:tr>
            <w:tr w:rsidR="00003211" w:rsidRPr="00D30025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lastRenderedPageBreak/>
                    <w:t>Specialized training</w:t>
                  </w:r>
                </w:p>
                <w:p w:rsidR="00003211" w:rsidRPr="00D30025" w:rsidRDefault="00003211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staff training in the protocol methodology and/or in the conduct of the data analysis.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003211" w:rsidRPr="00D30025" w:rsidRDefault="00D30025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</w:pPr>
                  <w:r w:rsidRPr="00D30025">
                    <w:rPr>
                      <w:rFonts w:ascii="Trebuchet MS" w:eastAsia="Times New Roman" w:hAnsi="Trebuchet MS" w:cs="Times New Roman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00003211" w:rsidRPr="00D30025" w:rsidRDefault="00003211" w:rsidP="006A24D5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</w:tbl>
    <w:p w:rsidR="008C7A7B" w:rsidRPr="00D30025" w:rsidRDefault="00003211" w:rsidP="00003211">
      <w:pPr>
        <w:rPr>
          <w:rFonts w:ascii="Trebuchet MS" w:hAnsi="Trebuchet MS"/>
          <w:sz w:val="21"/>
          <w:szCs w:val="21"/>
        </w:rPr>
      </w:pPr>
      <w:r w:rsidRPr="00D30025">
        <w:rPr>
          <w:rFonts w:ascii="Trebuchet MS" w:eastAsia="Times New Roman" w:hAnsi="Trebuchet MS" w:cs="Times New Roman"/>
          <w:color w:val="000000"/>
          <w:sz w:val="21"/>
          <w:szCs w:val="21"/>
        </w:rPr>
        <w:lastRenderedPageBreak/>
        <w:br/>
      </w:r>
      <w:bookmarkEnd w:id="0"/>
    </w:p>
    <w:sectPr w:rsidR="008C7A7B" w:rsidRPr="00D30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21B2C"/>
    <w:multiLevelType w:val="multilevel"/>
    <w:tmpl w:val="3A6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47FD8"/>
    <w:multiLevelType w:val="multilevel"/>
    <w:tmpl w:val="CAD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F5D42"/>
    <w:multiLevelType w:val="multilevel"/>
    <w:tmpl w:val="0DAC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1B4697"/>
    <w:multiLevelType w:val="multilevel"/>
    <w:tmpl w:val="C0F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82CD3"/>
    <w:multiLevelType w:val="multilevel"/>
    <w:tmpl w:val="B8C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43CB0"/>
    <w:multiLevelType w:val="hybridMultilevel"/>
    <w:tmpl w:val="A1001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B7DAE"/>
    <w:multiLevelType w:val="multilevel"/>
    <w:tmpl w:val="B62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303F5"/>
    <w:multiLevelType w:val="multilevel"/>
    <w:tmpl w:val="E7D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8C358B"/>
    <w:multiLevelType w:val="multilevel"/>
    <w:tmpl w:val="AD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B9B"/>
    <w:rsid w:val="00003211"/>
    <w:rsid w:val="00005125"/>
    <w:rsid w:val="000603AE"/>
    <w:rsid w:val="00065B27"/>
    <w:rsid w:val="00085121"/>
    <w:rsid w:val="00145A49"/>
    <w:rsid w:val="001975C8"/>
    <w:rsid w:val="001C3760"/>
    <w:rsid w:val="003245FA"/>
    <w:rsid w:val="003316D3"/>
    <w:rsid w:val="00355948"/>
    <w:rsid w:val="003F4CED"/>
    <w:rsid w:val="004B454D"/>
    <w:rsid w:val="005C088D"/>
    <w:rsid w:val="006B7779"/>
    <w:rsid w:val="00820289"/>
    <w:rsid w:val="008C7A7B"/>
    <w:rsid w:val="00934517"/>
    <w:rsid w:val="009C0B3F"/>
    <w:rsid w:val="00AA01A2"/>
    <w:rsid w:val="00AC5F7C"/>
    <w:rsid w:val="00BF4EB2"/>
    <w:rsid w:val="00C537E3"/>
    <w:rsid w:val="00CB578E"/>
    <w:rsid w:val="00CC1BB8"/>
    <w:rsid w:val="00CF5B9B"/>
    <w:rsid w:val="00D30025"/>
    <w:rsid w:val="00E47F26"/>
    <w:rsid w:val="00E821E6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  <w:style w:type="paragraph" w:styleId="BalloonText">
    <w:name w:val="Balloon Text"/>
    <w:basedOn w:val="Normal"/>
    <w:link w:val="BalloonTextChar"/>
    <w:unhideWhenUsed/>
    <w:rsid w:val="009C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C0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C0B3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B3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  <w:style w:type="paragraph" w:styleId="BalloonText">
    <w:name w:val="Balloon Text"/>
    <w:basedOn w:val="Normal"/>
    <w:link w:val="BalloonTextChar"/>
    <w:unhideWhenUsed/>
    <w:rsid w:val="009C0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B3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C0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9C0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0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C0B3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0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0B3F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C0B3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C0B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1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3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04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780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219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436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20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5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63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80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593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14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78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59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779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20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0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697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2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474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8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8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02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03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382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22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63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41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733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8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51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12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7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364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0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013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2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8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43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11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22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35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14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879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40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372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670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9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58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28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98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48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919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55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79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553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13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8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48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95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12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29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22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3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66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7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72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62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5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00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12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29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1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3438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8916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188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36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321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41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76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1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7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27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80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89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055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504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8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8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63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2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94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30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41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99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8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98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04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42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85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29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131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68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23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5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6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6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7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5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40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29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6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8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353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405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02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76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9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237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463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6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2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438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7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99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15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87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570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9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34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990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37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48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6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19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587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22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617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73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98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61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3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952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26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437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6973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415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1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7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06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03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325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4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620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59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40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5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13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681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289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24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34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287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319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0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6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89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535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0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32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7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98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8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24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05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572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331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365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173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9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1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23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8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86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427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76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759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33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8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64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8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835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3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821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8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73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0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62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62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7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76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2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445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31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3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86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780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0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6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36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4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4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72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970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94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4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262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0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131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959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178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4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8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16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14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657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6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9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8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5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136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6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9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95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8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12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45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5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504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1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641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6969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9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324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1036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32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940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34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0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8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278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160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1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90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407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605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228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160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564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27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66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2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50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11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993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2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917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35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2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47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71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829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782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80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105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648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604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49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1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6749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083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03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094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9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9781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0427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0532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3236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595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369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1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8443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4038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67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3615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0210">
              <w:marLeft w:val="120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76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6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0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00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3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20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91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3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2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68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2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28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47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7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49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0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65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99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4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98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26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1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068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56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1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.details.loinc.org/LOINC/62759-6.html?sections=W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debrowser.nci.nih.gov/CDEBrowser/search?elementDetails=9&amp;FirstTimer=0&amp;PageId=ElementDetailsGroup&amp;publicId=3076102&amp;version=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Hwang, Stephen</cp:lastModifiedBy>
  <cp:revision>7</cp:revision>
  <dcterms:created xsi:type="dcterms:W3CDTF">2015-09-15T16:30:00Z</dcterms:created>
  <dcterms:modified xsi:type="dcterms:W3CDTF">2017-11-28T18:12:00Z</dcterms:modified>
</cp:coreProperties>
</file>