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28A5EB74" Type="http://schemas.openxmlformats.org/officeDocument/2006/relationships/officeDocument" Target="/word/document.xml" /><Relationship Id="coreR28A5EB74"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10801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Demographics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Current Address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spacing w:before="240" w:after="240"/>
              <w:ind w:left="0" w:right="0"/>
              <w:rPr>
                <w:rFonts w:ascii="Arial" w:hAnsi="Arial"/>
                <w:sz w:val="21"/>
              </w:rPr>
            </w:pPr>
            <w:r>
              <w:rPr>
                <w:rFonts w:ascii="Arial" w:hAnsi="Arial"/>
                <w:sz w:val="21"/>
              </w:rPr>
              <w:t>Question asking the respondent for his or her current address.</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spacing w:before="240" w:after="240"/>
              <w:ind w:left="0" w:right="0"/>
              <w:rPr>
                <w:rFonts w:ascii="Arial" w:hAnsi="Arial"/>
                <w:sz w:val="21"/>
              </w:rPr>
            </w:pPr>
            <w:r>
              <w:rPr>
                <w:rFonts w:ascii="Arial" w:hAnsi="Arial"/>
                <w:sz w:val="21"/>
              </w:rPr>
              <w:t>Current address is the location of the respondent’s primary residence. The proximity of the respondent’s residence to environmental sources may or may not influence his or her health (e.g., living within 100 meters of a major urban roadway might influence person’s respiratory health). Current address information (street address, city, state, and zip code) can be geocoded (geographical latitudes and longitudes), if necessary.</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Residential History [60301]</w:t>
              <w:br w:type="textWrapping"/>
              <w:t>Neighborhood Concentrated Disadvantage [211301]</w:t>
              <w:br w:type="textWrapping"/>
              <w:t>Neighborhood Concentrated Disadvantage [211302]</w:t>
              <w:br w:type="textWrapping"/>
              <w:t>Race/Ethnic Residential Segregation [211401]</w:t>
              <w:br w:type="textWrapping"/>
              <w:t>Race/Ethnic Residential Segregation - U.S. Census [211402]</w:t>
              <w:br w:type="textWrapping"/>
              <w:t>Race/Ethnic Residential Segregation - American Community Survey [211403]</w:t>
              <w:br w:type="textWrapping"/>
              <w:t xml:space="preserve">Race/Ethnic Residential Segregation - Separation (S) Index, Unbiased [211404]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May 31, 2016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February 06, 2009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May 31, 2016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Current Address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National Health and Nutrition Examination Survey (NHANES), Screener Module 1, 2005-2006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Demographics; National Center for Health Statistics; NCHS; Centers for Disease Control and Prevention; CDC; address; geocode; residence; street address; latitude; longitude; National Health and Nutrition Examination Survey; NHANES; SES Measures (income; education; occupation); Demographics-Populations with HD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The interviewer reads the respondents current address aloud for the respondent. Information is verified with the respondent and recorded.</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 xml:space="preserve">I would like to verify your address. Please give me your complete current residential address (where you spend most of your time). </w:t>
            </w:r>
          </w:p>
          <w:p>
            <w:pPr>
              <w:spacing w:before="240" w:after="240"/>
              <w:ind w:left="0" w:right="0"/>
              <w:rPr>
                <w:rFonts w:ascii="Arial" w:hAnsi="Arial"/>
                <w:sz w:val="21"/>
              </w:rPr>
            </w:pPr>
            <w:r>
              <w:rPr>
                <w:rFonts w:ascii="Arial" w:hAnsi="Arial"/>
                <w:sz w:val="21"/>
              </w:rPr>
              <w:t>{#} {DIRECTION} {STREET NAME} {STREET/ROAD/AVENUE} {DIRECTION} {##} {PO BOX} {RURAL ROUTE #} {RURAL ROUTEBOX} {CITY} {STATE} {ZIP}</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Current address (or location) may relate environmental exposures to a person’s health. Verification of a respondent’s address is a standard practice. The respondent’s current address and updates of his or her current address are necessary for follow-up during longitudinal studies.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 xml:space="preserve">Centers for Disease Control and Prevention. (2005). National Health and Nutrition Examination Survey (NHANES), 2005–2006, Screener Module 1. Atlanta, GA: Author. Question number: SCQ.070. </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Spanish</w:t>
              <w:br w:type="textWrapping"/>
              <w:t xml:space="preserve">Chinese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Any age</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 xml:space="preserve">The interviewer must be trained to conduct personal interviews with individuals from the general population. The interviewer must be trained and found to be competent (i.e., tested by an expert) at the completion of personal interviews.* The interviewer should be trained to prompt respondents further if a "don’t know" response is provided. </w:t>
            </w:r>
          </w:p>
          <w:p>
            <w:pPr>
              <w:spacing w:before="240" w:after="240"/>
              <w:ind w:left="0" w:right="0"/>
              <w:rPr>
                <w:rFonts w:ascii="Arial" w:hAnsi="Arial"/>
                <w:sz w:val="21"/>
              </w:rPr>
            </w:pPr>
            <w:r>
              <w:rPr>
                <w:rFonts w:ascii="Arial" w:hAnsi="Arial"/>
                <w:sz w:val="21"/>
              </w:rPr>
              <w:t>* There are multiple modes to administer this question (e.g., paper-and-pencil and computer-assisted interviews).</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While the source instrument was developed to be administered by computer, the PhenX Working Group acknowledges these questions can be administered in a noncomputerized format (i.e., paper-and-pencil instrument). Computer software is necessary to develop computer-assisted instruments. The interviewer will require a laptop computer or handheld computer to administer a computer-assisted questionnaire.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Standard</w:t>
                  </w:r>
                </w:p>
              </w:tc>
              <w:tc>
                <w:tcPr>
                  <w:tcW w:w="0" w:type="auto"/>
                  <w:vAlign w:val="center"/>
                </w:tcPr>
                <w:p>
                  <w:pPr>
                    <w:spacing w:before="240" w:after="240"/>
                    <w:ind w:left="0" w:right="0"/>
                    <w:rPr>
                      <w:rFonts w:ascii="Arial" w:hAnsi="Arial"/>
                      <w:sz w:val="21"/>
                    </w:rPr>
                  </w:pPr>
                  <w:r>
                    <w:rPr>
                      <w:rFonts w:ascii="Arial" w:hAnsi="Arial"/>
                      <w:b w:val="1"/>
                      <w:sz w:val="21"/>
                    </w:rPr>
                    <w:t>Name</w:t>
                  </w:r>
                </w:p>
              </w:tc>
              <w:tc>
                <w:tcPr>
                  <w:tcW w:w="0" w:type="auto"/>
                  <w:vAlign w:val="center"/>
                </w:tcPr>
                <w:p>
                  <w:pPr>
                    <w:spacing w:before="240" w:after="240"/>
                    <w:ind w:left="0" w:right="0"/>
                    <w:rPr>
                      <w:rFonts w:ascii="Arial" w:hAnsi="Arial"/>
                      <w:sz w:val="21"/>
                    </w:rPr>
                  </w:pPr>
                  <w:r>
                    <w:rPr>
                      <w:rFonts w:ascii="Arial" w:hAnsi="Arial"/>
                      <w:b w:val="1"/>
                      <w:sz w:val="21"/>
                    </w:rPr>
                    <w:t>ID</w:t>
                  </w:r>
                </w:p>
              </w:tc>
              <w:tc>
                <w:tcPr>
                  <w:tcW w:w="0" w:type="auto"/>
                  <w:vAlign w:val="center"/>
                </w:tcPr>
                <w:p>
                  <w:pPr>
                    <w:spacing w:before="240" w:after="240"/>
                    <w:ind w:left="0" w:right="0"/>
                    <w:rPr>
                      <w:rFonts w:ascii="Arial" w:hAnsi="Arial"/>
                      <w:sz w:val="21"/>
                    </w:rPr>
                  </w:pPr>
                  <w:r>
                    <w:rPr>
                      <w:rFonts w:ascii="Arial" w:hAnsi="Arial"/>
                      <w:b w:val="1"/>
                      <w:sz w:val="21"/>
                    </w:rPr>
                    <w:t>Source</w:t>
                  </w:r>
                </w:p>
              </w:tc>
            </w:tr>
            <w:tr>
              <w:tc>
                <w:tcPr>
                  <w:tcW w:w="0" w:type="auto"/>
                  <w:vAlign w:val="center"/>
                </w:tcPr>
                <w:p>
                  <w:pPr>
                    <w:spacing w:before="240" w:after="240"/>
                    <w:ind w:left="0" w:right="0"/>
                    <w:rPr>
                      <w:rFonts w:ascii="Arial" w:hAnsi="Arial"/>
                      <w:sz w:val="21"/>
                    </w:rPr>
                  </w:pPr>
                  <w:r>
                    <w:rPr>
                      <w:rFonts w:ascii="Arial" w:hAnsi="Arial"/>
                      <w:sz w:val="21"/>
                    </w:rPr>
                    <w:t>Logical Observation Identifiers Names and Codes (LOINC)</w:t>
                  </w:r>
                </w:p>
              </w:tc>
              <w:tc>
                <w:tcPr>
                  <w:tcW w:w="0" w:type="auto"/>
                  <w:vAlign w:val="center"/>
                </w:tcPr>
                <w:p>
                  <w:pPr>
                    <w:spacing w:before="240" w:after="240"/>
                    <w:ind w:left="0" w:right="0"/>
                    <w:rPr>
                      <w:rFonts w:ascii="Arial" w:hAnsi="Arial"/>
                      <w:sz w:val="21"/>
                    </w:rPr>
                  </w:pPr>
                  <w:r>
                    <w:rPr>
                      <w:rFonts w:ascii="Arial" w:hAnsi="Arial"/>
                      <w:sz w:val="21"/>
                    </w:rPr>
                    <w:t>Current address proto</w:t>
                  </w:r>
                </w:p>
              </w:tc>
              <w:tc>
                <w:tcPr>
                  <w:tcW w:w="0" w:type="auto"/>
                  <w:vAlign w:val="center"/>
                </w:tcPr>
                <w:p>
                  <w:pPr>
                    <w:spacing w:before="240" w:after="240"/>
                    <w:ind w:left="0" w:right="0"/>
                    <w:rPr>
                      <w:rFonts w:ascii="Arial" w:hAnsi="Arial"/>
                      <w:sz w:val="21"/>
                    </w:rPr>
                  </w:pPr>
                  <w:r>
                    <w:rPr>
                      <w:rFonts w:ascii="Arial" w:hAnsi="Arial"/>
                      <w:sz w:val="21"/>
                    </w:rPr>
                    <w:t>63052-5</w:t>
                  </w:r>
                </w:p>
              </w:tc>
              <w:tc>
                <w:tcPr>
                  <w:tcW w:w="0" w:type="auto"/>
                  <w:vAlign w:val="center"/>
                </w:tcPr>
                <w:p>
                  <w:pPr>
                    <w:spacing w:before="240" w:after="240"/>
                    <w:ind w:left="0" w:right="0"/>
                    <w:rPr>
                      <w:rFonts w:ascii="Arial" w:hAnsi="Arial"/>
                      <w:sz w:val="21"/>
                    </w:rPr>
                  </w:pPr>
                  <w:r>
                    <w:rPr>
                      <w:rFonts w:ascii="Arial" w:hAnsi="Arial"/>
                      <w:sz w:val="21"/>
                    </w:rPr>
                    <w:fldChar w:fldCharType="begin"/>
                  </w:r>
                  <w:r>
                    <w:rPr>
                      <w:rFonts w:ascii="Arial" w:hAnsi="Arial"/>
                      <w:sz w:val="21"/>
                    </w:rPr>
                    <w:instrText>HYPERLINK "http://s.details.loinc.org/LOINC/&lt;INSERT_ID&gt;.html?sections=Web"</w:instrText>
                  </w:r>
                  <w:r>
                    <w:rPr>
                      <w:rFonts w:ascii="Arial" w:hAnsi="Arial"/>
                      <w:sz w:val="21"/>
                    </w:rPr>
                    <w:fldChar w:fldCharType="separate"/>
                  </w:r>
                  <w:r>
                    <w:rPr>
                      <w:rStyle w:val="C2"/>
                      <w:rFonts w:ascii="Arial" w:hAnsi="Arial"/>
                      <w:sz w:val="21"/>
                    </w:rPr>
                    <w:t>LOINC</w:t>
                  </w:r>
                  <w:r>
                    <w:rPr>
                      <w:rStyle w:val="C2"/>
                      <w:rFonts w:ascii="Arial" w:hAnsi="Arial"/>
                      <w:sz w:val="21"/>
                    </w:rPr>
                    <w:fldChar w:fldCharType="end"/>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Public Population Project in Genomics (P3G) Data Shaper.</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spacing w:before="240" w:after="240"/>
              <w:ind w:left="0" w:right="0"/>
              <w:rPr>
                <w:rFonts w:ascii="Arial" w:hAnsi="Arial"/>
                <w:sz w:val="21"/>
              </w:rPr>
            </w:pPr>
            <w:r>
              <w:rPr>
                <w:rFonts w:ascii="Arial" w:hAnsi="Arial"/>
                <w:sz w:val="21"/>
              </w:rPr>
              <w:t xml:space="preserve">The [link[phenxtoolkit.org/about/teams#erp2-members|Expert Review Panel #2]] (ERP 2) reviewed the measures in the Demographics, Environmental Exposures, and Social Environments domains. </w:t>
            </w:r>
          </w:p>
          <w:p>
            <w:pPr>
              <w:spacing w:before="240" w:after="240"/>
              <w:ind w:left="0" w:right="0"/>
              <w:rPr>
                <w:rFonts w:ascii="Arial" w:hAnsi="Arial"/>
                <w:sz w:val="21"/>
              </w:rPr>
            </w:pPr>
            <w:r>
              <w:rPr>
                <w:rFonts w:ascii="Arial" w:hAnsi="Arial"/>
                <w:sz w:val="21"/>
              </w:rPr>
              <w:t>Guidance from ERP 2 includes:</w:t>
            </w:r>
          </w:p>
          <w:p>
            <w:pPr>
              <w:spacing w:before="240" w:after="240"/>
              <w:ind w:left="0" w:right="0"/>
              <w:rPr>
                <w:rFonts w:ascii="Arial" w:hAnsi="Arial"/>
                <w:sz w:val="21"/>
              </w:rPr>
            </w:pPr>
            <w:r>
              <w:rPr>
                <w:rFonts w:ascii="Arial" w:hAnsi="Arial"/>
                <w:sz w:val="21"/>
              </w:rPr>
              <w:t>• Revised descriptions of the measure</w:t>
            </w:r>
          </w:p>
          <w:p>
            <w:pPr>
              <w:spacing w:before="240" w:after="240"/>
              <w:ind w:left="0" w:right="0"/>
              <w:rPr>
                <w:rFonts w:ascii="Arial" w:hAnsi="Arial"/>
                <w:sz w:val="21"/>
              </w:rPr>
            </w:pPr>
            <w:r>
              <w:rPr>
                <w:rFonts w:ascii="Arial" w:hAnsi="Arial"/>
                <w:sz w:val="21"/>
              </w:rPr>
              <w:t xml:space="preserve">Back-compatible: no changes to Data Dictionary </w:t>
            </w:r>
          </w:p>
          <w:p>
            <w:pPr>
              <w:spacing w:before="240" w:after="240"/>
              <w:ind w:left="0" w:right="0"/>
              <w:rPr>
                <w:rFonts w:ascii="Arial" w:hAnsi="Arial"/>
                <w:sz w:val="21"/>
              </w:rPr>
            </w:pPr>
            <w:r>
              <w:rPr>
                <w:rFonts w:ascii="Arial" w:hAnsi="Arial"/>
                <w:sz w:val="21"/>
              </w:rPr>
              <w:t>Previous version in Toolkit archive ([link[www.phenxtoolkit.org/domains/view/10000#tab5content|link]])</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2024-09-13T20:52:11Z</dcterms:created>
  <cp:lastModifiedBy>Williams (He/Him), David</cp:lastModifiedBy>
  <dcterms:modified xsi:type="dcterms:W3CDTF">2024-09-13T20:52:11Z</dcterms:modified>
  <cp:revision>1</cp:revision>
</cp:coreProperties>
</file>